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Pr="00A31F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A31F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A31F1B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A31F1B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A31F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A31F1B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A31F1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A31F1B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A31F1B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A31F1B" w:rsidRDefault="00B55A24" w:rsidP="00A31F1B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A31F1B" w:rsidRDefault="00B55A24" w:rsidP="00A31F1B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E01CEF" w:rsidRDefault="00B55A24" w:rsidP="00FA2A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01CEF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1735B6" w:rsidRPr="00E01CEF">
        <w:rPr>
          <w:rFonts w:ascii="Times New Roman" w:hAnsi="Times New Roman"/>
          <w:b/>
          <w:bCs/>
          <w:sz w:val="24"/>
          <w:szCs w:val="24"/>
        </w:rPr>
        <w:t xml:space="preserve">OPĆEG DIJELA </w:t>
      </w:r>
      <w:r w:rsidR="00FA2A5D" w:rsidRPr="00E01CEF">
        <w:rPr>
          <w:rFonts w:ascii="Times New Roman" w:hAnsi="Times New Roman"/>
          <w:b/>
          <w:bCs/>
          <w:sz w:val="24"/>
          <w:szCs w:val="24"/>
        </w:rPr>
        <w:t>GODIŠNJEG IZVJEŠTAJA O IZVRŠENJU</w:t>
      </w:r>
      <w:r w:rsidR="00A414E2" w:rsidRPr="00E01C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1CEF">
        <w:rPr>
          <w:rFonts w:ascii="Times New Roman" w:hAnsi="Times New Roman"/>
          <w:b/>
          <w:bCs/>
          <w:sz w:val="24"/>
          <w:szCs w:val="24"/>
        </w:rPr>
        <w:t>FINANCIJSKOG PLANA ZA</w:t>
      </w:r>
      <w:r w:rsidR="006F4101" w:rsidRPr="00E01CEF"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="00FA2A5D" w:rsidRPr="00E01CE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01CEF">
        <w:rPr>
          <w:rFonts w:ascii="Times New Roman" w:hAnsi="Times New Roman"/>
          <w:b/>
          <w:bCs/>
          <w:sz w:val="24"/>
          <w:szCs w:val="24"/>
        </w:rPr>
        <w:t>GODINU</w:t>
      </w:r>
    </w:p>
    <w:p w:rsidR="00B07E8A" w:rsidRDefault="00B07E8A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2A5D" w:rsidRPr="00FA2A5D" w:rsidRDefault="00516C6C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16C6C">
        <w:rPr>
          <w:rFonts w:ascii="Times New Roman" w:hAnsi="Times New Roman"/>
          <w:bCs/>
          <w:sz w:val="24"/>
          <w:szCs w:val="24"/>
        </w:rPr>
        <w:t xml:space="preserve">Sukladno članku 81. Zakona o proračunu (NN 144/21) polugodišnji i godišnji izvještaj o izvršenju financijskog plana proračunskog i izvanproračunskog korisnika sadrže opći i posebni dio, obrazloženje i posebne izvještaje. </w:t>
      </w:r>
      <w:r w:rsidR="00FA2A5D" w:rsidRPr="00FA2A5D">
        <w:rPr>
          <w:rFonts w:ascii="Times New Roman" w:hAnsi="Times New Roman"/>
          <w:bCs/>
          <w:sz w:val="24"/>
          <w:szCs w:val="24"/>
        </w:rPr>
        <w:t>Izvještajem o izvršenju Financijskog plana omogućuje se praćenje ostvarenja planiranih pozicija prihoda, primitaka, rashoda, izdataka, viškova i manjkova unutar jedne prora</w:t>
      </w:r>
      <w:r>
        <w:rPr>
          <w:rFonts w:ascii="Times New Roman" w:hAnsi="Times New Roman"/>
          <w:bCs/>
          <w:sz w:val="24"/>
          <w:szCs w:val="24"/>
        </w:rPr>
        <w:t xml:space="preserve">čunske godine. </w:t>
      </w:r>
      <w:r w:rsidR="00FA2A5D">
        <w:rPr>
          <w:rFonts w:ascii="Times New Roman" w:hAnsi="Times New Roman"/>
          <w:bCs/>
          <w:sz w:val="24"/>
          <w:szCs w:val="24"/>
        </w:rPr>
        <w:t>Financijski plan Stomatološkog fakulteta</w:t>
      </w:r>
      <w:r>
        <w:rPr>
          <w:rFonts w:ascii="Times New Roman" w:hAnsi="Times New Roman"/>
          <w:bCs/>
          <w:sz w:val="24"/>
          <w:szCs w:val="24"/>
        </w:rPr>
        <w:t xml:space="preserve"> za 2025</w:t>
      </w:r>
      <w:r w:rsidR="00FA2A5D" w:rsidRPr="00FA2A5D">
        <w:rPr>
          <w:rFonts w:ascii="Times New Roman" w:hAnsi="Times New Roman"/>
          <w:bCs/>
          <w:sz w:val="24"/>
          <w:szCs w:val="24"/>
        </w:rPr>
        <w:t>. godinu čine prihodi i rashodi raspoređeni u programe koji se sastoje od aktivnosti i projekata, a iskazani su prema ekonomskoj i funkcijskoj klasifikaciji</w:t>
      </w:r>
      <w:r w:rsidR="00217B85">
        <w:rPr>
          <w:rFonts w:ascii="Times New Roman" w:hAnsi="Times New Roman"/>
          <w:bCs/>
          <w:sz w:val="24"/>
          <w:szCs w:val="24"/>
        </w:rPr>
        <w:t>,</w:t>
      </w:r>
      <w:r w:rsidR="00FA2A5D" w:rsidRPr="00FA2A5D">
        <w:rPr>
          <w:rFonts w:ascii="Times New Roman" w:hAnsi="Times New Roman"/>
          <w:bCs/>
          <w:sz w:val="24"/>
          <w:szCs w:val="24"/>
        </w:rPr>
        <w:t xml:space="preserve"> te izvorima financiranja. Donesen je na razini skupine (druga razina) ekonomske klasifikacije, dok se izvršenje prati na razini odjeljka ekonomske klasifikacije (četvrta razina).</w:t>
      </w:r>
    </w:p>
    <w:p w:rsidR="00FA2A5D" w:rsidRDefault="00FA2A5D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40955" w:rsidRDefault="00440955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SAŽETAK OPĆEG DIJELA</w:t>
      </w: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Opć</w:t>
      </w:r>
      <w:r w:rsidR="001735B6">
        <w:rPr>
          <w:rFonts w:ascii="Times New Roman" w:hAnsi="Times New Roman"/>
          <w:bCs/>
          <w:sz w:val="24"/>
          <w:szCs w:val="24"/>
        </w:rPr>
        <w:t xml:space="preserve">i </w:t>
      </w:r>
      <w:r w:rsidR="00516C6C">
        <w:rPr>
          <w:rFonts w:ascii="Times New Roman" w:hAnsi="Times New Roman"/>
          <w:bCs/>
          <w:sz w:val="24"/>
          <w:szCs w:val="24"/>
        </w:rPr>
        <w:t>dio Financijskog plana za 2025</w:t>
      </w:r>
      <w:r w:rsidRPr="00440955"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:rsidR="00440955" w:rsidRPr="00440955" w:rsidRDefault="00440955" w:rsidP="00440955">
      <w:pPr>
        <w:jc w:val="both"/>
        <w:rPr>
          <w:rFonts w:ascii="Times New Roman" w:hAnsi="Times New Roman"/>
          <w:bCs/>
          <w:sz w:val="24"/>
          <w:szCs w:val="24"/>
        </w:rPr>
      </w:pPr>
      <w:r w:rsidRPr="00440955">
        <w:rPr>
          <w:rFonts w:ascii="Times New Roman" w:hAnsi="Times New Roman"/>
          <w:bCs/>
          <w:sz w:val="24"/>
          <w:szCs w:val="24"/>
        </w:rPr>
        <w:t>Strukturu Financijskog plana čine:</w:t>
      </w:r>
    </w:p>
    <w:p w:rsidR="00440955" w:rsidRPr="00175311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175311">
        <w:rPr>
          <w:rFonts w:ascii="Times New Roman" w:hAnsi="Times New Roman"/>
          <w:bCs/>
          <w:sz w:val="24"/>
          <w:szCs w:val="24"/>
        </w:rPr>
        <w:t>prihodi poslovanja</w:t>
      </w:r>
      <w:r w:rsidR="004B6973" w:rsidRPr="00175311">
        <w:rPr>
          <w:rFonts w:ascii="Times New Roman" w:hAnsi="Times New Roman"/>
          <w:bCs/>
          <w:sz w:val="24"/>
          <w:szCs w:val="24"/>
        </w:rPr>
        <w:t xml:space="preserve"> i prihodi od nefinancijske imovine</w:t>
      </w:r>
      <w:r w:rsidRPr="00175311">
        <w:rPr>
          <w:rFonts w:ascii="Times New Roman" w:hAnsi="Times New Roman"/>
          <w:bCs/>
          <w:sz w:val="24"/>
          <w:szCs w:val="24"/>
        </w:rPr>
        <w:t xml:space="preserve">: </w:t>
      </w:r>
      <w:r w:rsidR="00175311" w:rsidRPr="00175311">
        <w:rPr>
          <w:rFonts w:ascii="Times New Roman" w:hAnsi="Times New Roman"/>
          <w:bCs/>
          <w:sz w:val="24"/>
          <w:szCs w:val="24"/>
        </w:rPr>
        <w:t>11.595.166</w:t>
      </w:r>
      <w:r w:rsidR="00416000" w:rsidRPr="00175311">
        <w:rPr>
          <w:rFonts w:ascii="Times New Roman" w:hAnsi="Times New Roman"/>
          <w:bCs/>
          <w:sz w:val="24"/>
          <w:szCs w:val="24"/>
        </w:rPr>
        <w:t>,00 eura</w:t>
      </w:r>
      <w:r w:rsidRPr="00175311">
        <w:rPr>
          <w:rFonts w:ascii="Times New Roman" w:hAnsi="Times New Roman"/>
          <w:bCs/>
          <w:sz w:val="24"/>
          <w:szCs w:val="24"/>
        </w:rPr>
        <w:t>,</w:t>
      </w:r>
    </w:p>
    <w:p w:rsidR="00440955" w:rsidRPr="00175311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175311">
        <w:rPr>
          <w:rFonts w:ascii="Times New Roman" w:hAnsi="Times New Roman"/>
          <w:bCs/>
          <w:sz w:val="24"/>
          <w:szCs w:val="24"/>
        </w:rPr>
        <w:t xml:space="preserve">rashodi poslovanja: </w:t>
      </w:r>
      <w:r w:rsidR="00175311" w:rsidRPr="00175311">
        <w:rPr>
          <w:rFonts w:ascii="Times New Roman" w:hAnsi="Times New Roman"/>
          <w:bCs/>
          <w:sz w:val="24"/>
          <w:szCs w:val="24"/>
        </w:rPr>
        <w:t>10.657.981</w:t>
      </w:r>
      <w:r w:rsidR="00416000" w:rsidRPr="00175311">
        <w:rPr>
          <w:rFonts w:ascii="Times New Roman" w:hAnsi="Times New Roman"/>
          <w:bCs/>
          <w:sz w:val="24"/>
          <w:szCs w:val="24"/>
        </w:rPr>
        <w:t>,00 eura</w:t>
      </w:r>
      <w:r w:rsidRPr="00175311">
        <w:rPr>
          <w:rFonts w:ascii="Times New Roman" w:hAnsi="Times New Roman"/>
          <w:bCs/>
          <w:sz w:val="24"/>
          <w:szCs w:val="24"/>
        </w:rPr>
        <w:t>,</w:t>
      </w:r>
    </w:p>
    <w:p w:rsidR="00440955" w:rsidRPr="00175311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175311">
        <w:rPr>
          <w:rFonts w:ascii="Times New Roman" w:hAnsi="Times New Roman"/>
          <w:bCs/>
          <w:sz w:val="24"/>
          <w:szCs w:val="24"/>
        </w:rPr>
        <w:t xml:space="preserve">rashodi za nabavu nefinancijske imovine: </w:t>
      </w:r>
      <w:r w:rsidR="00175311" w:rsidRPr="00175311">
        <w:rPr>
          <w:rFonts w:ascii="Times New Roman" w:hAnsi="Times New Roman"/>
          <w:bCs/>
          <w:sz w:val="24"/>
          <w:szCs w:val="24"/>
        </w:rPr>
        <w:t>865,599</w:t>
      </w:r>
      <w:r w:rsidR="00416000" w:rsidRPr="00175311">
        <w:rPr>
          <w:rFonts w:ascii="Times New Roman" w:hAnsi="Times New Roman"/>
          <w:bCs/>
          <w:sz w:val="24"/>
          <w:szCs w:val="24"/>
        </w:rPr>
        <w:t>,00 eura</w:t>
      </w:r>
      <w:r w:rsidRPr="00175311">
        <w:rPr>
          <w:rFonts w:ascii="Times New Roman" w:hAnsi="Times New Roman"/>
          <w:bCs/>
          <w:sz w:val="24"/>
          <w:szCs w:val="24"/>
        </w:rPr>
        <w:t>,</w:t>
      </w:r>
    </w:p>
    <w:p w:rsidR="00440955" w:rsidRPr="00B07E8A" w:rsidRDefault="00440955" w:rsidP="00FE6E6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</w:rPr>
      </w:pPr>
      <w:r w:rsidRPr="00175311">
        <w:rPr>
          <w:rFonts w:ascii="Times New Roman" w:hAnsi="Times New Roman"/>
          <w:bCs/>
          <w:sz w:val="24"/>
          <w:szCs w:val="24"/>
        </w:rPr>
        <w:t xml:space="preserve">višak prihoda prenesen iz prethodnih godina: </w:t>
      </w:r>
      <w:r w:rsidR="00B07E8A" w:rsidRPr="00175311">
        <w:rPr>
          <w:rFonts w:ascii="Times New Roman" w:hAnsi="Times New Roman"/>
          <w:bCs/>
          <w:sz w:val="24"/>
          <w:szCs w:val="24"/>
        </w:rPr>
        <w:t>2.</w:t>
      </w:r>
      <w:r w:rsidR="00516C6C" w:rsidRPr="00175311">
        <w:rPr>
          <w:rFonts w:ascii="Times New Roman" w:hAnsi="Times New Roman"/>
          <w:bCs/>
          <w:sz w:val="24"/>
          <w:szCs w:val="24"/>
        </w:rPr>
        <w:t>418.979,70</w:t>
      </w:r>
      <w:r w:rsidR="00416000" w:rsidRPr="00175311">
        <w:rPr>
          <w:rFonts w:ascii="Times New Roman" w:hAnsi="Times New Roman"/>
          <w:bCs/>
          <w:sz w:val="24"/>
          <w:szCs w:val="24"/>
        </w:rPr>
        <w:t xml:space="preserve"> eura</w:t>
      </w:r>
      <w:r w:rsidRPr="00B07E8A">
        <w:rPr>
          <w:rFonts w:ascii="Times New Roman" w:hAnsi="Times New Roman"/>
          <w:bCs/>
          <w:sz w:val="24"/>
          <w:szCs w:val="24"/>
        </w:rPr>
        <w:t>.</w:t>
      </w:r>
    </w:p>
    <w:p w:rsidR="00A31F1B" w:rsidRDefault="00A31F1B" w:rsidP="00FA2A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3FF7" w:rsidRPr="003F4018" w:rsidRDefault="00FA2A5D" w:rsidP="003F4018">
      <w:pPr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:rsidR="00343FF7" w:rsidRPr="00577B86" w:rsidRDefault="004B6973" w:rsidP="0096353E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7B86">
        <w:rPr>
          <w:rFonts w:ascii="Times New Roman" w:hAnsi="Times New Roman"/>
          <w:bCs/>
          <w:sz w:val="24"/>
          <w:szCs w:val="24"/>
        </w:rPr>
        <w:t>Ukupni</w:t>
      </w:r>
      <w:r w:rsidR="00622463" w:rsidRPr="00577B86">
        <w:rPr>
          <w:rFonts w:ascii="Times New Roman" w:hAnsi="Times New Roman"/>
          <w:bCs/>
          <w:sz w:val="24"/>
          <w:szCs w:val="24"/>
        </w:rPr>
        <w:t xml:space="preserve"> prihodi </w:t>
      </w:r>
      <w:r w:rsidR="001735B6" w:rsidRPr="00577B86">
        <w:rPr>
          <w:rFonts w:ascii="Times New Roman" w:hAnsi="Times New Roman"/>
          <w:bCs/>
          <w:sz w:val="24"/>
          <w:szCs w:val="24"/>
        </w:rPr>
        <w:t>za 202</w:t>
      </w:r>
      <w:r w:rsidR="000862C3" w:rsidRPr="00577B86">
        <w:rPr>
          <w:rFonts w:ascii="Times New Roman" w:hAnsi="Times New Roman"/>
          <w:bCs/>
          <w:sz w:val="24"/>
          <w:szCs w:val="24"/>
        </w:rPr>
        <w:t>5</w:t>
      </w:r>
      <w:r w:rsidR="000C38BB" w:rsidRPr="00577B86">
        <w:rPr>
          <w:rFonts w:ascii="Times New Roman" w:hAnsi="Times New Roman"/>
          <w:bCs/>
          <w:sz w:val="24"/>
          <w:szCs w:val="24"/>
        </w:rPr>
        <w:t xml:space="preserve">. </w:t>
      </w:r>
      <w:r w:rsidR="00FB2E8E" w:rsidRPr="00577B86">
        <w:rPr>
          <w:rFonts w:ascii="Times New Roman" w:hAnsi="Times New Roman"/>
          <w:bCs/>
          <w:sz w:val="24"/>
          <w:szCs w:val="24"/>
        </w:rPr>
        <w:t>g</w:t>
      </w:r>
      <w:r w:rsidR="000C38BB" w:rsidRPr="00577B86">
        <w:rPr>
          <w:rFonts w:ascii="Times New Roman" w:hAnsi="Times New Roman"/>
          <w:bCs/>
          <w:sz w:val="24"/>
          <w:szCs w:val="24"/>
        </w:rPr>
        <w:t>odinu</w:t>
      </w:r>
      <w:r w:rsidRPr="00577B86">
        <w:rPr>
          <w:rFonts w:ascii="Times New Roman" w:hAnsi="Times New Roman"/>
          <w:bCs/>
          <w:sz w:val="24"/>
          <w:szCs w:val="24"/>
        </w:rPr>
        <w:t xml:space="preserve"> planirani su u iznosu</w:t>
      </w:r>
      <w:r w:rsidR="000C38BB" w:rsidRPr="00577B86">
        <w:rPr>
          <w:rFonts w:ascii="Times New Roman" w:hAnsi="Times New Roman"/>
          <w:bCs/>
          <w:sz w:val="24"/>
          <w:szCs w:val="24"/>
        </w:rPr>
        <w:t xml:space="preserve"> </w:t>
      </w:r>
      <w:r w:rsidR="00175311" w:rsidRPr="00577B86">
        <w:rPr>
          <w:rFonts w:ascii="Times New Roman" w:hAnsi="Times New Roman"/>
          <w:bCs/>
          <w:sz w:val="24"/>
          <w:szCs w:val="24"/>
        </w:rPr>
        <w:t xml:space="preserve">11.595.166,00 </w:t>
      </w:r>
      <w:r w:rsidR="00416000" w:rsidRPr="00577B86">
        <w:rPr>
          <w:rFonts w:ascii="Times New Roman" w:hAnsi="Times New Roman"/>
          <w:bCs/>
          <w:sz w:val="24"/>
          <w:szCs w:val="24"/>
        </w:rPr>
        <w:t>eura</w:t>
      </w:r>
      <w:r w:rsidR="002F17A3" w:rsidRPr="00577B86">
        <w:rPr>
          <w:rFonts w:ascii="Times New Roman" w:hAnsi="Times New Roman"/>
          <w:bCs/>
          <w:sz w:val="24"/>
          <w:szCs w:val="24"/>
        </w:rPr>
        <w:t xml:space="preserve">, </w:t>
      </w:r>
      <w:r w:rsidR="00FB2E8E" w:rsidRPr="00577B86">
        <w:rPr>
          <w:rFonts w:ascii="Times New Roman" w:hAnsi="Times New Roman"/>
          <w:bCs/>
          <w:sz w:val="24"/>
          <w:szCs w:val="24"/>
        </w:rPr>
        <w:t xml:space="preserve">a ostvareni su u iznosu </w:t>
      </w:r>
      <w:r w:rsidR="00577B86" w:rsidRPr="00577B86">
        <w:rPr>
          <w:rFonts w:ascii="Times New Roman" w:hAnsi="Times New Roman"/>
          <w:bCs/>
          <w:sz w:val="24"/>
          <w:szCs w:val="24"/>
        </w:rPr>
        <w:t xml:space="preserve">11.448.152,51 </w:t>
      </w:r>
      <w:r w:rsidR="00416000" w:rsidRPr="00577B86">
        <w:rPr>
          <w:rFonts w:ascii="Times New Roman" w:hAnsi="Times New Roman"/>
          <w:bCs/>
          <w:sz w:val="24"/>
          <w:szCs w:val="24"/>
        </w:rPr>
        <w:t>eura</w:t>
      </w:r>
      <w:r w:rsidR="000862C3" w:rsidRPr="00577B86">
        <w:rPr>
          <w:rFonts w:ascii="Times New Roman" w:hAnsi="Times New Roman"/>
          <w:bCs/>
          <w:sz w:val="24"/>
          <w:szCs w:val="24"/>
        </w:rPr>
        <w:t xml:space="preserve">, što je </w:t>
      </w:r>
      <w:r w:rsidR="00577B86" w:rsidRPr="00577B86">
        <w:rPr>
          <w:rFonts w:ascii="Times New Roman" w:hAnsi="Times New Roman"/>
          <w:bCs/>
          <w:sz w:val="24"/>
          <w:szCs w:val="24"/>
        </w:rPr>
        <w:t>98,73</w:t>
      </w:r>
      <w:r w:rsidR="000862C3" w:rsidRPr="00577B86">
        <w:rPr>
          <w:rFonts w:ascii="Times New Roman" w:hAnsi="Times New Roman"/>
          <w:bCs/>
          <w:sz w:val="24"/>
          <w:szCs w:val="24"/>
        </w:rPr>
        <w:t xml:space="preserve">% </w:t>
      </w:r>
      <w:r w:rsidR="00E86EFF" w:rsidRPr="00577B86">
        <w:rPr>
          <w:rFonts w:ascii="Times New Roman" w:hAnsi="Times New Roman"/>
          <w:bCs/>
          <w:sz w:val="24"/>
          <w:szCs w:val="24"/>
        </w:rPr>
        <w:t xml:space="preserve">u odnosu na godišnji </w:t>
      </w:r>
      <w:r w:rsidR="000862C3" w:rsidRPr="00577B86">
        <w:rPr>
          <w:rFonts w:ascii="Times New Roman" w:hAnsi="Times New Roman"/>
          <w:bCs/>
          <w:sz w:val="24"/>
          <w:szCs w:val="24"/>
        </w:rPr>
        <w:t>plan</w:t>
      </w:r>
      <w:r w:rsidR="00FB2E8E" w:rsidRPr="00577B86">
        <w:rPr>
          <w:rFonts w:ascii="Times New Roman" w:hAnsi="Times New Roman"/>
          <w:bCs/>
          <w:sz w:val="24"/>
          <w:szCs w:val="24"/>
        </w:rPr>
        <w:t>.</w:t>
      </w:r>
      <w:r w:rsidR="00FB2E8E" w:rsidRPr="00577B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862C3" w:rsidRPr="00577B86" w:rsidRDefault="00FB2E8E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77B86">
        <w:rPr>
          <w:rFonts w:ascii="Times New Roman" w:hAnsi="Times New Roman"/>
          <w:bCs/>
          <w:sz w:val="24"/>
          <w:szCs w:val="24"/>
        </w:rPr>
        <w:t>P</w:t>
      </w:r>
      <w:r w:rsidR="00622463" w:rsidRPr="00577B86">
        <w:rPr>
          <w:rFonts w:ascii="Times New Roman" w:hAnsi="Times New Roman"/>
          <w:bCs/>
          <w:sz w:val="24"/>
          <w:szCs w:val="24"/>
        </w:rPr>
        <w:t xml:space="preserve">regled planiranih i ostvarenih </w:t>
      </w:r>
      <w:r w:rsidRPr="00577B86">
        <w:rPr>
          <w:rFonts w:ascii="Times New Roman" w:hAnsi="Times New Roman"/>
          <w:bCs/>
          <w:sz w:val="24"/>
          <w:szCs w:val="24"/>
        </w:rPr>
        <w:t xml:space="preserve">prihoda prema </w:t>
      </w:r>
      <w:r w:rsidR="000862C3" w:rsidRPr="00577B86">
        <w:rPr>
          <w:rFonts w:ascii="Times New Roman" w:hAnsi="Times New Roman"/>
          <w:bCs/>
          <w:sz w:val="24"/>
          <w:szCs w:val="24"/>
        </w:rPr>
        <w:t>izvoru financiranja daje se u tabličnom prikazu: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425"/>
        <w:gridCol w:w="723"/>
        <w:gridCol w:w="1733"/>
        <w:gridCol w:w="1733"/>
        <w:gridCol w:w="1014"/>
      </w:tblGrid>
      <w:tr w:rsidR="00635356" w:rsidRPr="00635356" w:rsidTr="000862C3">
        <w:tc>
          <w:tcPr>
            <w:tcW w:w="4425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Vrsta prihoda</w:t>
            </w:r>
          </w:p>
        </w:tc>
        <w:tc>
          <w:tcPr>
            <w:tcW w:w="723" w:type="dxa"/>
          </w:tcPr>
          <w:p w:rsidR="000862C3" w:rsidRPr="00BB704E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 xml:space="preserve">Izvor </w:t>
            </w:r>
          </w:p>
        </w:tc>
        <w:tc>
          <w:tcPr>
            <w:tcW w:w="1733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33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14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BB704E" w:rsidRDefault="000862C3" w:rsidP="000862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i/>
                <w:sz w:val="24"/>
                <w:szCs w:val="24"/>
              </w:rPr>
              <w:t>Prihodi poslovanja</w:t>
            </w:r>
          </w:p>
        </w:tc>
        <w:tc>
          <w:tcPr>
            <w:tcW w:w="723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2C3" w:rsidRPr="00BB704E" w:rsidRDefault="00BB704E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11.593.431</w:t>
            </w:r>
            <w:r w:rsidR="00FB611B" w:rsidRPr="00BB704E">
              <w:rPr>
                <w:rFonts w:ascii="Times New Roman" w:hAnsi="Times New Roman"/>
                <w:bCs/>
                <w:i/>
                <w:sz w:val="24"/>
                <w:szCs w:val="24"/>
              </w:rPr>
              <w:t>,00</w:t>
            </w:r>
          </w:p>
        </w:tc>
        <w:tc>
          <w:tcPr>
            <w:tcW w:w="1733" w:type="dxa"/>
          </w:tcPr>
          <w:p w:rsidR="000862C3" w:rsidRPr="00BB704E" w:rsidRDefault="00FB611B" w:rsidP="00BB704E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i/>
                <w:sz w:val="24"/>
                <w:szCs w:val="24"/>
              </w:rPr>
              <w:t>11.44</w:t>
            </w:r>
            <w:r w:rsidR="00BB704E">
              <w:rPr>
                <w:rFonts w:ascii="Times New Roman" w:hAnsi="Times New Roman"/>
                <w:bCs/>
                <w:i/>
                <w:sz w:val="24"/>
                <w:szCs w:val="24"/>
              </w:rPr>
              <w:t>6.463,91</w:t>
            </w:r>
          </w:p>
        </w:tc>
        <w:tc>
          <w:tcPr>
            <w:tcW w:w="1014" w:type="dxa"/>
          </w:tcPr>
          <w:p w:rsidR="000862C3" w:rsidRPr="00BB704E" w:rsidRDefault="00FB611B" w:rsidP="00BB704E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BB704E">
              <w:rPr>
                <w:rFonts w:ascii="Times New Roman" w:hAnsi="Times New Roman"/>
                <w:bCs/>
                <w:i/>
                <w:sz w:val="24"/>
                <w:szCs w:val="24"/>
              </w:rPr>
              <w:t>98,73</w:t>
            </w:r>
            <w:r w:rsidR="00930F6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Opći prihodi i primici</w:t>
            </w:r>
          </w:p>
        </w:tc>
        <w:tc>
          <w:tcPr>
            <w:tcW w:w="723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33" w:type="dxa"/>
          </w:tcPr>
          <w:p w:rsidR="000862C3" w:rsidRPr="00BB704E" w:rsidRDefault="00BB704E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BB704E">
              <w:rPr>
                <w:rFonts w:ascii="Times New Roman" w:hAnsi="Times New Roman"/>
                <w:bCs/>
                <w:sz w:val="24"/>
                <w:szCs w:val="24"/>
              </w:rPr>
              <w:t>9.060.855</w:t>
            </w:r>
            <w:r w:rsidR="00343FF7" w:rsidRPr="00BB704E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33" w:type="dxa"/>
          </w:tcPr>
          <w:p w:rsidR="000862C3" w:rsidRPr="00BB704E" w:rsidRDefault="00FB611B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BB704E">
              <w:rPr>
                <w:rFonts w:ascii="Times New Roman" w:hAnsi="Times New Roman"/>
                <w:bCs/>
                <w:sz w:val="24"/>
                <w:szCs w:val="24"/>
              </w:rPr>
              <w:t>8.909.360,13</w:t>
            </w:r>
          </w:p>
        </w:tc>
        <w:tc>
          <w:tcPr>
            <w:tcW w:w="1014" w:type="dxa"/>
          </w:tcPr>
          <w:p w:rsidR="000862C3" w:rsidRPr="00BB704E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 xml:space="preserve">  98,33</w:t>
            </w:r>
          </w:p>
        </w:tc>
      </w:tr>
      <w:tr w:rsidR="00635356" w:rsidRPr="00635356" w:rsidTr="000862C3">
        <w:trPr>
          <w:trHeight w:val="209"/>
        </w:trPr>
        <w:tc>
          <w:tcPr>
            <w:tcW w:w="4425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Vlastiti prihodi</w:t>
            </w:r>
          </w:p>
        </w:tc>
        <w:tc>
          <w:tcPr>
            <w:tcW w:w="723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33" w:type="dxa"/>
          </w:tcPr>
          <w:p w:rsidR="000862C3" w:rsidRPr="00577B86" w:rsidRDefault="00343FF7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325.950,00</w:t>
            </w:r>
          </w:p>
        </w:tc>
        <w:tc>
          <w:tcPr>
            <w:tcW w:w="1733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FB611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316.888,51</w:t>
            </w:r>
          </w:p>
        </w:tc>
        <w:tc>
          <w:tcPr>
            <w:tcW w:w="1014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97,22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577B86" w:rsidRDefault="00240F64" w:rsidP="00240F64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Ostali p</w:t>
            </w:r>
            <w:r w:rsidR="000862C3" w:rsidRPr="00577B86">
              <w:rPr>
                <w:rFonts w:ascii="Times New Roman" w:hAnsi="Times New Roman"/>
                <w:bCs/>
                <w:sz w:val="24"/>
                <w:szCs w:val="24"/>
              </w:rPr>
              <w:t>rihodi za posebne namjene</w:t>
            </w:r>
          </w:p>
        </w:tc>
        <w:tc>
          <w:tcPr>
            <w:tcW w:w="723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33" w:type="dxa"/>
          </w:tcPr>
          <w:p w:rsidR="000862C3" w:rsidRPr="00577B86" w:rsidRDefault="00BB704E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577B86">
              <w:rPr>
                <w:rFonts w:ascii="Times New Roman" w:hAnsi="Times New Roman"/>
                <w:bCs/>
                <w:sz w:val="24"/>
                <w:szCs w:val="24"/>
              </w:rPr>
              <w:t>1.75</w:t>
            </w:r>
            <w:r w:rsidR="00343FF7" w:rsidRPr="00577B86">
              <w:rPr>
                <w:rFonts w:ascii="Times New Roman" w:hAnsi="Times New Roman"/>
                <w:bCs/>
                <w:sz w:val="24"/>
                <w:szCs w:val="24"/>
              </w:rPr>
              <w:t>0.000,00</w:t>
            </w:r>
          </w:p>
        </w:tc>
        <w:tc>
          <w:tcPr>
            <w:tcW w:w="1733" w:type="dxa"/>
          </w:tcPr>
          <w:p w:rsidR="000862C3" w:rsidRPr="00577B86" w:rsidRDefault="00FB611B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577B86">
              <w:rPr>
                <w:rFonts w:ascii="Times New Roman" w:hAnsi="Times New Roman"/>
                <w:bCs/>
                <w:sz w:val="24"/>
                <w:szCs w:val="24"/>
              </w:rPr>
              <w:t>1.795.355,95</w:t>
            </w:r>
          </w:p>
        </w:tc>
        <w:tc>
          <w:tcPr>
            <w:tcW w:w="1014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102,59</w:t>
            </w:r>
          </w:p>
        </w:tc>
      </w:tr>
      <w:tr w:rsidR="00577B86" w:rsidRPr="00635356" w:rsidTr="000862C3">
        <w:tc>
          <w:tcPr>
            <w:tcW w:w="4425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Pomoći EU</w:t>
            </w:r>
          </w:p>
        </w:tc>
        <w:tc>
          <w:tcPr>
            <w:tcW w:w="723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33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    6.000,00</w:t>
            </w:r>
          </w:p>
        </w:tc>
        <w:tc>
          <w:tcPr>
            <w:tcW w:w="1733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FB611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6.000,00</w:t>
            </w:r>
          </w:p>
        </w:tc>
        <w:tc>
          <w:tcPr>
            <w:tcW w:w="1014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Ostale pomoći</w:t>
            </w:r>
          </w:p>
        </w:tc>
        <w:tc>
          <w:tcPr>
            <w:tcW w:w="723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33" w:type="dxa"/>
          </w:tcPr>
          <w:p w:rsidR="000862C3" w:rsidRPr="00577B86" w:rsidRDefault="00343FF7" w:rsidP="00577B8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577B86">
              <w:rPr>
                <w:rFonts w:ascii="Times New Roman" w:hAnsi="Times New Roman"/>
                <w:bCs/>
                <w:sz w:val="24"/>
                <w:szCs w:val="24"/>
              </w:rPr>
              <w:t>259.205,00</w:t>
            </w:r>
          </w:p>
        </w:tc>
        <w:tc>
          <w:tcPr>
            <w:tcW w:w="1733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FB611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227.458,45</w:t>
            </w:r>
          </w:p>
        </w:tc>
        <w:tc>
          <w:tcPr>
            <w:tcW w:w="1014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87,75</w:t>
            </w:r>
          </w:p>
        </w:tc>
      </w:tr>
      <w:tr w:rsidR="00984682" w:rsidRPr="00577B86" w:rsidTr="000862C3">
        <w:tc>
          <w:tcPr>
            <w:tcW w:w="4425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Instrumenti EU nove generacije</w:t>
            </w:r>
          </w:p>
        </w:tc>
        <w:tc>
          <w:tcPr>
            <w:tcW w:w="723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33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78.962,00</w:t>
            </w:r>
          </w:p>
        </w:tc>
        <w:tc>
          <w:tcPr>
            <w:tcW w:w="1733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FB611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78.961,80</w:t>
            </w:r>
          </w:p>
        </w:tc>
        <w:tc>
          <w:tcPr>
            <w:tcW w:w="1014" w:type="dxa"/>
          </w:tcPr>
          <w:p w:rsidR="00577B86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</w:p>
        </w:tc>
        <w:tc>
          <w:tcPr>
            <w:tcW w:w="723" w:type="dxa"/>
          </w:tcPr>
          <w:p w:rsidR="000862C3" w:rsidRPr="00577B86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733" w:type="dxa"/>
          </w:tcPr>
          <w:p w:rsidR="000862C3" w:rsidRPr="00577B86" w:rsidRDefault="00BB704E" w:rsidP="00577B8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43FF7"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7B86" w:rsidRPr="00577B86">
              <w:rPr>
                <w:rFonts w:ascii="Times New Roman" w:hAnsi="Times New Roman"/>
                <w:bCs/>
                <w:sz w:val="24"/>
                <w:szCs w:val="24"/>
              </w:rPr>
              <w:t>112.459,00</w:t>
            </w:r>
          </w:p>
        </w:tc>
        <w:tc>
          <w:tcPr>
            <w:tcW w:w="1733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FB611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112.439,07</w:t>
            </w:r>
          </w:p>
        </w:tc>
        <w:tc>
          <w:tcPr>
            <w:tcW w:w="1014" w:type="dxa"/>
          </w:tcPr>
          <w:p w:rsidR="000862C3" w:rsidRPr="00577B86" w:rsidRDefault="00577B86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 xml:space="preserve">  99,98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984682" w:rsidRDefault="000862C3" w:rsidP="00240F6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>Prihodi od nef</w:t>
            </w:r>
            <w:r w:rsidR="00240F64">
              <w:rPr>
                <w:rFonts w:ascii="Times New Roman" w:hAnsi="Times New Roman"/>
                <w:bCs/>
                <w:i/>
                <w:sz w:val="24"/>
                <w:szCs w:val="24"/>
              </w:rPr>
              <w:t>in.</w:t>
            </w:r>
            <w:r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>imovine</w:t>
            </w:r>
            <w:r w:rsidR="00240F6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 nadoknade štete s osnova osig.</w:t>
            </w:r>
          </w:p>
        </w:tc>
        <w:tc>
          <w:tcPr>
            <w:tcW w:w="723" w:type="dxa"/>
          </w:tcPr>
          <w:p w:rsidR="000862C3" w:rsidRPr="00984682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2C3" w:rsidRPr="00984682" w:rsidRDefault="00BB704E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984682"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</w:t>
            </w:r>
            <w:r w:rsidR="00577B86"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>1.735,00</w:t>
            </w:r>
          </w:p>
        </w:tc>
        <w:tc>
          <w:tcPr>
            <w:tcW w:w="1733" w:type="dxa"/>
          </w:tcPr>
          <w:p w:rsidR="00577B86" w:rsidRPr="00984682" w:rsidRDefault="00984682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</w:t>
            </w:r>
            <w:r w:rsidR="00FB611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</w:t>
            </w:r>
            <w:r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577B86"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>1.688,60</w:t>
            </w:r>
          </w:p>
        </w:tc>
        <w:tc>
          <w:tcPr>
            <w:tcW w:w="1014" w:type="dxa"/>
          </w:tcPr>
          <w:p w:rsidR="000862C3" w:rsidRPr="00984682" w:rsidRDefault="00984682" w:rsidP="00073CF6">
            <w:pPr>
              <w:pStyle w:val="ListParagraph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577B86" w:rsidRPr="00984682">
              <w:rPr>
                <w:rFonts w:ascii="Times New Roman" w:hAnsi="Times New Roman"/>
                <w:bCs/>
                <w:i/>
                <w:sz w:val="24"/>
                <w:szCs w:val="24"/>
              </w:rPr>
              <w:t>97,33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240F64" w:rsidRDefault="00240F64" w:rsidP="00240F64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F64">
              <w:rPr>
                <w:rFonts w:ascii="Times New Roman" w:hAnsi="Times New Roman"/>
                <w:bCs/>
                <w:sz w:val="24"/>
                <w:szCs w:val="24"/>
              </w:rPr>
              <w:t>Prihodi od nef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</w:t>
            </w:r>
            <w:r w:rsidRPr="00240F64">
              <w:rPr>
                <w:rFonts w:ascii="Times New Roman" w:hAnsi="Times New Roman"/>
                <w:bCs/>
                <w:sz w:val="24"/>
                <w:szCs w:val="24"/>
              </w:rPr>
              <w:t xml:space="preserve">.imovine i nadoknade štete s osnova osiguranja </w:t>
            </w:r>
          </w:p>
        </w:tc>
        <w:tc>
          <w:tcPr>
            <w:tcW w:w="723" w:type="dxa"/>
          </w:tcPr>
          <w:p w:rsidR="000862C3" w:rsidRPr="00984682" w:rsidRDefault="000862C3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733" w:type="dxa"/>
          </w:tcPr>
          <w:p w:rsidR="000862C3" w:rsidRPr="00984682" w:rsidRDefault="00984682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BB704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98468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984682">
              <w:rPr>
                <w:rFonts w:ascii="Times New Roman" w:hAnsi="Times New Roman"/>
                <w:bCs/>
                <w:sz w:val="24"/>
                <w:szCs w:val="24"/>
              </w:rPr>
              <w:t>1.735,00</w:t>
            </w:r>
          </w:p>
        </w:tc>
        <w:tc>
          <w:tcPr>
            <w:tcW w:w="1733" w:type="dxa"/>
          </w:tcPr>
          <w:p w:rsidR="000862C3" w:rsidRPr="00984682" w:rsidRDefault="00984682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FB611B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9846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7B86" w:rsidRPr="00984682">
              <w:rPr>
                <w:rFonts w:ascii="Times New Roman" w:hAnsi="Times New Roman"/>
                <w:bCs/>
                <w:sz w:val="24"/>
                <w:szCs w:val="24"/>
              </w:rPr>
              <w:t>1.688,60</w:t>
            </w:r>
          </w:p>
        </w:tc>
        <w:tc>
          <w:tcPr>
            <w:tcW w:w="1014" w:type="dxa"/>
          </w:tcPr>
          <w:p w:rsidR="000862C3" w:rsidRPr="00984682" w:rsidRDefault="00984682" w:rsidP="00073CF6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68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77B86" w:rsidRPr="00984682">
              <w:rPr>
                <w:rFonts w:ascii="Times New Roman" w:hAnsi="Times New Roman"/>
                <w:bCs/>
                <w:sz w:val="24"/>
                <w:szCs w:val="24"/>
              </w:rPr>
              <w:t>97,33</w:t>
            </w:r>
          </w:p>
        </w:tc>
      </w:tr>
      <w:tr w:rsidR="00635356" w:rsidRPr="00635356" w:rsidTr="000862C3">
        <w:tc>
          <w:tcPr>
            <w:tcW w:w="4425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723" w:type="dxa"/>
          </w:tcPr>
          <w:p w:rsidR="000862C3" w:rsidRPr="00BB704E" w:rsidRDefault="000862C3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:rsidR="000862C3" w:rsidRPr="00BB704E" w:rsidRDefault="00FB611B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11.595.166</w:t>
            </w:r>
            <w:r w:rsidR="00411262" w:rsidRPr="00BB70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,00</w:t>
            </w:r>
          </w:p>
        </w:tc>
        <w:tc>
          <w:tcPr>
            <w:tcW w:w="1733" w:type="dxa"/>
          </w:tcPr>
          <w:p w:rsidR="000862C3" w:rsidRPr="00BB704E" w:rsidRDefault="00FB611B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11.448.152,51</w:t>
            </w:r>
          </w:p>
        </w:tc>
        <w:tc>
          <w:tcPr>
            <w:tcW w:w="1014" w:type="dxa"/>
          </w:tcPr>
          <w:p w:rsidR="000862C3" w:rsidRPr="00BB704E" w:rsidRDefault="00FB611B" w:rsidP="00073CF6">
            <w:pPr>
              <w:pStyle w:val="ListParagraph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98,73</w:t>
            </w:r>
          </w:p>
        </w:tc>
      </w:tr>
    </w:tbl>
    <w:p w:rsidR="00D417B0" w:rsidRPr="004055CC" w:rsidRDefault="00D417B0" w:rsidP="00D417B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55CC">
        <w:rPr>
          <w:rFonts w:ascii="Times New Roman" w:hAnsi="Times New Roman"/>
          <w:bCs/>
          <w:sz w:val="24"/>
          <w:szCs w:val="24"/>
        </w:rPr>
        <w:lastRenderedPageBreak/>
        <w:t>Prihodi poslovanja sadrže prihode iz nadležnog proračuna, prihode od vlastitih usluga i prodane robe, prihode po posebnim propisima, pomoći od inozemnih vlada i subjekata unutar istog proračuna, pomoći od institucija i tijela EU i donacije.</w:t>
      </w:r>
    </w:p>
    <w:p w:rsidR="00802FB1" w:rsidRPr="00A10AE2" w:rsidRDefault="00704821" w:rsidP="00802FB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11 </w:t>
      </w:r>
      <w:r w:rsidR="00802FB1">
        <w:rPr>
          <w:rFonts w:ascii="Times New Roman" w:hAnsi="Times New Roman"/>
          <w:bCs/>
          <w:sz w:val="24"/>
          <w:szCs w:val="24"/>
        </w:rPr>
        <w:t>Opći prihodi i primici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Prihodi iz nadležnog proračuna za financiranje rashoda poslovanja </w:t>
      </w:r>
      <w:r w:rsidR="00802FB1" w:rsidRPr="00930F6B">
        <w:rPr>
          <w:rFonts w:ascii="Times New Roman" w:hAnsi="Times New Roman"/>
          <w:bCs/>
          <w:sz w:val="24"/>
          <w:szCs w:val="24"/>
        </w:rPr>
        <w:t xml:space="preserve">izvršeni su </w:t>
      </w:r>
      <w:r w:rsidR="00930F6B" w:rsidRPr="00930F6B">
        <w:rPr>
          <w:rFonts w:ascii="Times New Roman" w:hAnsi="Times New Roman"/>
          <w:bCs/>
          <w:sz w:val="24"/>
          <w:szCs w:val="24"/>
        </w:rPr>
        <w:t>98,33</w:t>
      </w:r>
      <w:r w:rsidR="00802FB1" w:rsidRPr="00930F6B">
        <w:rPr>
          <w:rFonts w:ascii="Times New Roman" w:hAnsi="Times New Roman"/>
          <w:bCs/>
          <w:sz w:val="24"/>
          <w:szCs w:val="24"/>
        </w:rPr>
        <w:t xml:space="preserve">% od ukupnog 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godišnjeg plana. </w:t>
      </w:r>
      <w:r w:rsidR="00C22790">
        <w:rPr>
          <w:rFonts w:ascii="Times New Roman" w:hAnsi="Times New Roman"/>
          <w:bCs/>
          <w:sz w:val="24"/>
          <w:szCs w:val="24"/>
        </w:rPr>
        <w:t>Sastoji se od prihoda: plaće i materijalna</w:t>
      </w:r>
      <w:r w:rsidR="00802FB1" w:rsidRPr="002A25EE">
        <w:rPr>
          <w:rFonts w:ascii="Times New Roman" w:hAnsi="Times New Roman"/>
          <w:bCs/>
          <w:sz w:val="24"/>
          <w:szCs w:val="24"/>
        </w:rPr>
        <w:t xml:space="preserve"> prava zaposlenika, sredstva za studentske programe iz državnog proračuna za aktivnosti redovne djelatnosti, te sredstva za financiranje nastavne i znanstvene djelatnosti temeljem aktivnosti Programskog financiranja javnih visokih učilišta. </w:t>
      </w:r>
      <w:r w:rsidR="00BC10D9">
        <w:rPr>
          <w:rFonts w:ascii="Times New Roman" w:hAnsi="Times New Roman"/>
          <w:bCs/>
          <w:sz w:val="24"/>
          <w:szCs w:val="24"/>
        </w:rPr>
        <w:t>Neznatno odstupanje u izvršenju prihoda u odnosu na plan jer nam nisu doznačena sredstva za osnovnu proračunsku komponentu</w:t>
      </w:r>
      <w:r w:rsidR="00BC10D9" w:rsidRPr="00A10AE2">
        <w:rPr>
          <w:rFonts w:ascii="Times New Roman" w:hAnsi="Times New Roman"/>
          <w:bCs/>
          <w:sz w:val="24"/>
          <w:szCs w:val="24"/>
        </w:rPr>
        <w:t>.</w:t>
      </w:r>
      <w:r w:rsidR="00802FB1" w:rsidRPr="00A10AE2">
        <w:rPr>
          <w:rFonts w:ascii="Times New Roman" w:hAnsi="Times New Roman"/>
          <w:bCs/>
          <w:sz w:val="24"/>
          <w:szCs w:val="24"/>
        </w:rPr>
        <w:t xml:space="preserve"> </w:t>
      </w:r>
    </w:p>
    <w:p w:rsidR="00352D66" w:rsidRPr="00352D66" w:rsidRDefault="00704821" w:rsidP="00352D66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55EF8">
        <w:rPr>
          <w:rFonts w:ascii="Times New Roman" w:hAnsi="Times New Roman"/>
          <w:bCs/>
          <w:sz w:val="24"/>
          <w:szCs w:val="24"/>
        </w:rPr>
        <w:t xml:space="preserve">Na izvoru 31 Vlastiti prihodi </w:t>
      </w:r>
      <w:r w:rsidR="002C437A">
        <w:rPr>
          <w:rFonts w:ascii="Times New Roman" w:hAnsi="Times New Roman"/>
          <w:bCs/>
          <w:sz w:val="24"/>
          <w:szCs w:val="24"/>
        </w:rPr>
        <w:t>čine u najvećem opsegu tečajevi trajne izobrazbe. I</w:t>
      </w:r>
      <w:r w:rsidRPr="00455EF8">
        <w:rPr>
          <w:rFonts w:ascii="Times New Roman" w:hAnsi="Times New Roman"/>
          <w:bCs/>
          <w:sz w:val="24"/>
          <w:szCs w:val="24"/>
        </w:rPr>
        <w:t xml:space="preserve">zvršenje u odnosu na plan </w:t>
      </w:r>
      <w:r w:rsidR="00BC10D9" w:rsidRPr="00455EF8">
        <w:rPr>
          <w:rFonts w:ascii="Times New Roman" w:hAnsi="Times New Roman"/>
          <w:bCs/>
          <w:sz w:val="24"/>
          <w:szCs w:val="24"/>
        </w:rPr>
        <w:t>97,22</w:t>
      </w:r>
      <w:r w:rsidRPr="00455EF8">
        <w:rPr>
          <w:rFonts w:ascii="Times New Roman" w:hAnsi="Times New Roman"/>
          <w:bCs/>
          <w:sz w:val="24"/>
          <w:szCs w:val="24"/>
        </w:rPr>
        <w:t>%</w:t>
      </w:r>
      <w:r w:rsidR="00352D66" w:rsidRPr="00455EF8">
        <w:rPr>
          <w:rFonts w:ascii="Times New Roman" w:hAnsi="Times New Roman"/>
          <w:bCs/>
          <w:sz w:val="24"/>
          <w:szCs w:val="24"/>
        </w:rPr>
        <w:t xml:space="preserve">, a u odnosu na prošlu godinu manje su izvršeni jer se stupanjem na snagu </w:t>
      </w:r>
      <w:r w:rsidR="00352D66" w:rsidRPr="00455EF8">
        <w:rPr>
          <w:rFonts w:ascii="Times New Roman" w:hAnsi="Times New Roman"/>
          <w:bCs/>
          <w:iCs/>
          <w:sz w:val="24"/>
          <w:szCs w:val="24"/>
        </w:rPr>
        <w:t xml:space="preserve">Pravilnika o mjerilima i načinu </w:t>
      </w:r>
      <w:r w:rsidR="00352D66" w:rsidRPr="00352D66">
        <w:rPr>
          <w:rFonts w:ascii="Times New Roman" w:hAnsi="Times New Roman"/>
          <w:bCs/>
          <w:iCs/>
          <w:sz w:val="24"/>
          <w:szCs w:val="24"/>
        </w:rPr>
        <w:t>korištenja nenamjenskih donacija i vlastitih prihoda proračunskih korisnika iz nadležnosti Ministarstva znanosti, obrazovanja i mladih (NN 79/24) </w:t>
      </w:r>
      <w:r w:rsidR="00352D66" w:rsidRPr="00352D66">
        <w:rPr>
          <w:rFonts w:ascii="Times New Roman" w:hAnsi="Times New Roman"/>
          <w:bCs/>
          <w:sz w:val="24"/>
          <w:szCs w:val="24"/>
        </w:rPr>
        <w:t>i </w:t>
      </w:r>
      <w:r w:rsidR="00352D66" w:rsidRPr="00352D66">
        <w:rPr>
          <w:rFonts w:ascii="Times New Roman" w:hAnsi="Times New Roman"/>
          <w:bCs/>
          <w:iCs/>
          <w:sz w:val="24"/>
          <w:szCs w:val="24"/>
        </w:rPr>
        <w:t>Pravilnika o mjerilima i načinu korištenja namjenskih prihoda proračunskih korisnika iz nadležnosti Ministarstva znanosti, obrazovanja i mladih (NN 79/24)</w:t>
      </w:r>
      <w:r w:rsidR="00352D66" w:rsidRPr="00352D66">
        <w:rPr>
          <w:rFonts w:ascii="Times New Roman" w:hAnsi="Times New Roman"/>
          <w:bCs/>
          <w:sz w:val="24"/>
          <w:szCs w:val="24"/>
        </w:rPr>
        <w:t xml:space="preserve">, školarine studenata i druge naknade polaznika svih obrazovnih programa klasificiraju u izvor 43 – ostali prihodi za posebne namjene. </w:t>
      </w:r>
    </w:p>
    <w:p w:rsidR="00455EF8" w:rsidRDefault="00352D66" w:rsidP="00455EF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55EF8">
        <w:rPr>
          <w:rFonts w:ascii="Times New Roman" w:hAnsi="Times New Roman"/>
          <w:bCs/>
          <w:sz w:val="24"/>
          <w:szCs w:val="24"/>
        </w:rPr>
        <w:t xml:space="preserve">Na izvoru 43 </w:t>
      </w:r>
      <w:r w:rsidR="00411262" w:rsidRPr="00455EF8">
        <w:rPr>
          <w:rFonts w:ascii="Times New Roman" w:hAnsi="Times New Roman"/>
          <w:bCs/>
          <w:sz w:val="24"/>
          <w:szCs w:val="24"/>
        </w:rPr>
        <w:t xml:space="preserve">Prihodi za posebne namjene čine u najvećem opsegu prihodi od </w:t>
      </w:r>
      <w:r w:rsidR="00455EF8" w:rsidRPr="00455EF8">
        <w:rPr>
          <w:rFonts w:ascii="Times New Roman" w:hAnsi="Times New Roman"/>
          <w:bCs/>
          <w:sz w:val="24"/>
          <w:szCs w:val="24"/>
        </w:rPr>
        <w:t>školarina za Sveučilišni i</w:t>
      </w:r>
      <w:r w:rsidR="00411262" w:rsidRPr="00455EF8">
        <w:rPr>
          <w:rFonts w:ascii="Times New Roman" w:hAnsi="Times New Roman"/>
          <w:bCs/>
          <w:sz w:val="24"/>
          <w:szCs w:val="24"/>
        </w:rPr>
        <w:t>ntegrirani prijediplomski i diplomski studij Dentalna medicina</w:t>
      </w:r>
      <w:r w:rsidR="00411262"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411262" w:rsidRPr="00455EF8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411262"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411262" w:rsidRPr="00455EF8">
        <w:rPr>
          <w:rFonts w:ascii="Times New Roman" w:hAnsi="Times New Roman"/>
          <w:bCs/>
          <w:sz w:val="24"/>
          <w:szCs w:val="24"/>
          <w:lang w:val="en-AU"/>
        </w:rPr>
        <w:t>engleskom</w:t>
      </w:r>
      <w:proofErr w:type="spellEnd"/>
      <w:r w:rsidR="00411262"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411262" w:rsidRPr="00455EF8">
        <w:rPr>
          <w:rFonts w:ascii="Times New Roman" w:hAnsi="Times New Roman"/>
          <w:bCs/>
          <w:sz w:val="24"/>
          <w:szCs w:val="24"/>
          <w:lang w:val="en-AU"/>
        </w:rPr>
        <w:t>jeziku</w:t>
      </w:r>
      <w:proofErr w:type="spellEnd"/>
      <w:r w:rsidR="00411262" w:rsidRPr="00455EF8">
        <w:rPr>
          <w:rFonts w:ascii="Times New Roman" w:hAnsi="Times New Roman"/>
          <w:bCs/>
          <w:sz w:val="24"/>
          <w:szCs w:val="24"/>
        </w:rPr>
        <w:t xml:space="preserve"> i prihodi od školarina za </w:t>
      </w:r>
      <w:r w:rsidR="00455EF8" w:rsidRPr="00455EF8">
        <w:rPr>
          <w:rFonts w:ascii="Times New Roman" w:hAnsi="Times New Roman"/>
          <w:bCs/>
          <w:sz w:val="24"/>
          <w:szCs w:val="24"/>
        </w:rPr>
        <w:t>D</w:t>
      </w:r>
      <w:r w:rsidR="00411262" w:rsidRPr="00455EF8">
        <w:rPr>
          <w:rFonts w:ascii="Times New Roman" w:hAnsi="Times New Roman"/>
          <w:bCs/>
          <w:sz w:val="24"/>
          <w:szCs w:val="24"/>
        </w:rPr>
        <w:t xml:space="preserve">oktorski studij Dentalna Medicina, </w:t>
      </w:r>
      <w:r w:rsidR="00455EF8" w:rsidRPr="00455EF8">
        <w:rPr>
          <w:rFonts w:ascii="Times New Roman" w:hAnsi="Times New Roman"/>
          <w:bCs/>
          <w:sz w:val="24"/>
          <w:szCs w:val="24"/>
        </w:rPr>
        <w:t>koji su ostvareni 102,</w:t>
      </w:r>
      <w:r w:rsidR="00455EF8">
        <w:rPr>
          <w:rFonts w:ascii="Times New Roman" w:hAnsi="Times New Roman"/>
          <w:bCs/>
          <w:sz w:val="24"/>
          <w:szCs w:val="24"/>
        </w:rPr>
        <w:t>5</w:t>
      </w:r>
      <w:r w:rsidR="00455EF8" w:rsidRPr="00455EF8">
        <w:rPr>
          <w:rFonts w:ascii="Times New Roman" w:hAnsi="Times New Roman"/>
          <w:bCs/>
          <w:sz w:val="24"/>
          <w:szCs w:val="24"/>
        </w:rPr>
        <w:t>9 posto u odnosu na plan.</w:t>
      </w:r>
    </w:p>
    <w:p w:rsidR="00455EF8" w:rsidRPr="00455EF8" w:rsidRDefault="00455EF8" w:rsidP="00455EF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Pomoći EU u odnosu na  plan izvršeno 100,00%, odnosi se na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doznaku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sredstava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za organizaciju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skupa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Organiziran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je 3. Oral Potentially Malignant Disorders Day Congress u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organizaciji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COST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akcije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INTERCEPTOR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Stomatološkom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fakultetu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Sveučilišta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Pr="00455EF8">
        <w:rPr>
          <w:rFonts w:ascii="Times New Roman" w:hAnsi="Times New Roman"/>
          <w:bCs/>
          <w:sz w:val="24"/>
          <w:szCs w:val="24"/>
          <w:lang w:val="en-AU"/>
        </w:rPr>
        <w:t>Zagrebu</w:t>
      </w:r>
      <w:proofErr w:type="spellEnd"/>
      <w:r w:rsidRPr="00455EF8">
        <w:rPr>
          <w:rFonts w:ascii="Times New Roman" w:hAnsi="Times New Roman"/>
          <w:bCs/>
          <w:sz w:val="24"/>
          <w:szCs w:val="24"/>
          <w:lang w:val="en-AU"/>
        </w:rPr>
        <w:t>.</w:t>
      </w:r>
      <w:r w:rsidRPr="00455EF8">
        <w:rPr>
          <w:rFonts w:ascii="Times New Roman" w:hAnsi="Times New Roman"/>
          <w:bCs/>
          <w:sz w:val="24"/>
          <w:szCs w:val="24"/>
        </w:rPr>
        <w:t xml:space="preserve"> </w:t>
      </w:r>
    </w:p>
    <w:p w:rsidR="0051479C" w:rsidRDefault="00411262" w:rsidP="0051479C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455EF8">
        <w:rPr>
          <w:rFonts w:ascii="Times New Roman" w:hAnsi="Times New Roman"/>
          <w:bCs/>
          <w:sz w:val="24"/>
          <w:szCs w:val="24"/>
        </w:rPr>
        <w:t xml:space="preserve">Na </w:t>
      </w:r>
      <w:r w:rsidR="0051479C">
        <w:rPr>
          <w:rFonts w:ascii="Times New Roman" w:hAnsi="Times New Roman"/>
          <w:bCs/>
          <w:sz w:val="24"/>
          <w:szCs w:val="24"/>
        </w:rPr>
        <w:t>izvoru 52 Ostale pomoći izvršenje</w:t>
      </w:r>
      <w:r w:rsidRPr="00455EF8">
        <w:rPr>
          <w:rFonts w:ascii="Times New Roman" w:hAnsi="Times New Roman"/>
          <w:bCs/>
          <w:sz w:val="24"/>
          <w:szCs w:val="24"/>
        </w:rPr>
        <w:t xml:space="preserve"> u odnosu na plan </w:t>
      </w:r>
      <w:r w:rsidR="00455EF8" w:rsidRPr="00455EF8">
        <w:rPr>
          <w:rFonts w:ascii="Times New Roman" w:hAnsi="Times New Roman"/>
          <w:bCs/>
          <w:sz w:val="24"/>
          <w:szCs w:val="24"/>
        </w:rPr>
        <w:t>87,75</w:t>
      </w:r>
      <w:r w:rsidRPr="00455EF8">
        <w:rPr>
          <w:rFonts w:ascii="Times New Roman" w:hAnsi="Times New Roman"/>
          <w:bCs/>
          <w:sz w:val="24"/>
          <w:szCs w:val="24"/>
        </w:rPr>
        <w:t xml:space="preserve">%, a </w:t>
      </w:r>
      <w:r>
        <w:rPr>
          <w:rFonts w:ascii="Times New Roman" w:hAnsi="Times New Roman"/>
          <w:bCs/>
          <w:sz w:val="24"/>
          <w:szCs w:val="24"/>
        </w:rPr>
        <w:t xml:space="preserve">evidentiraju se: </w:t>
      </w:r>
      <w:r w:rsidR="0051479C">
        <w:rPr>
          <w:rFonts w:ascii="Times New Roman" w:hAnsi="Times New Roman"/>
          <w:bCs/>
          <w:sz w:val="24"/>
          <w:szCs w:val="24"/>
        </w:rPr>
        <w:t xml:space="preserve">pomoći od </w:t>
      </w:r>
      <w:r w:rsidR="0051479C" w:rsidRPr="0051479C">
        <w:rPr>
          <w:rFonts w:ascii="Times New Roman" w:hAnsi="Times New Roman"/>
          <w:bCs/>
          <w:sz w:val="24"/>
          <w:szCs w:val="24"/>
        </w:rPr>
        <w:t xml:space="preserve">inozemnih vlada - Sveučilište u Mostaru na ime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refundacije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putnih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troškova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nastavnika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održavanje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nastave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tekućih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prijenosa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između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proračunskih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korisn</w:t>
      </w:r>
      <w:r w:rsidR="00217B85">
        <w:rPr>
          <w:rFonts w:ascii="Times New Roman" w:hAnsi="Times New Roman"/>
          <w:bCs/>
          <w:sz w:val="24"/>
          <w:szCs w:val="24"/>
          <w:lang w:val="en-AU"/>
        </w:rPr>
        <w:t>i</w:t>
      </w:r>
      <w:bookmarkStart w:id="0" w:name="_GoBack"/>
      <w:bookmarkEnd w:id="0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ka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istog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proračuna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51479C" w:rsidRPr="0051479C">
        <w:rPr>
          <w:rFonts w:ascii="Times New Roman" w:hAnsi="Times New Roman"/>
          <w:bCs/>
          <w:sz w:val="24"/>
          <w:szCs w:val="24"/>
        </w:rPr>
        <w:t>tekućih prijenosa između proračunskih korisnika istog proračuna temeljem prijenosa EU sredstava</w:t>
      </w:r>
      <w:r w:rsidR="0051479C" w:rsidRPr="0051479C">
        <w:rPr>
          <w:rFonts w:ascii="Times New Roman" w:hAnsi="Times New Roman"/>
          <w:bCs/>
          <w:sz w:val="24"/>
          <w:szCs w:val="24"/>
          <w:lang w:val="en-AU"/>
        </w:rPr>
        <w:t xml:space="preserve">. </w:t>
      </w:r>
    </w:p>
    <w:p w:rsidR="0051479C" w:rsidRPr="0051479C" w:rsidRDefault="0051479C" w:rsidP="0051479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AU"/>
        </w:rPr>
        <w:t xml:space="preserve">Na </w:t>
      </w:r>
      <w:proofErr w:type="spellStart"/>
      <w:r>
        <w:rPr>
          <w:rFonts w:ascii="Times New Roman" w:hAnsi="Times New Roman"/>
          <w:bCs/>
          <w:sz w:val="24"/>
          <w:szCs w:val="24"/>
          <w:lang w:val="en-AU"/>
        </w:rPr>
        <w:t>izvoru</w:t>
      </w:r>
      <w:proofErr w:type="spellEnd"/>
      <w:r>
        <w:rPr>
          <w:rFonts w:ascii="Times New Roman" w:hAnsi="Times New Roman"/>
          <w:bCs/>
          <w:sz w:val="24"/>
          <w:szCs w:val="24"/>
          <w:lang w:val="en-AU"/>
        </w:rPr>
        <w:t xml:space="preserve"> 58 </w:t>
      </w:r>
      <w:proofErr w:type="spellStart"/>
      <w:r>
        <w:rPr>
          <w:rFonts w:ascii="Times New Roman" w:hAnsi="Times New Roman"/>
          <w:bCs/>
          <w:sz w:val="24"/>
          <w:szCs w:val="24"/>
          <w:lang w:val="en-AU"/>
        </w:rPr>
        <w:t>Instrumenti</w:t>
      </w:r>
      <w:proofErr w:type="spellEnd"/>
      <w:r>
        <w:rPr>
          <w:rFonts w:ascii="Times New Roman" w:hAnsi="Times New Roman"/>
          <w:bCs/>
          <w:sz w:val="24"/>
          <w:szCs w:val="24"/>
          <w:lang w:val="en-AU"/>
        </w:rPr>
        <w:t xml:space="preserve"> EU </w:t>
      </w:r>
      <w:proofErr w:type="spellStart"/>
      <w:r>
        <w:rPr>
          <w:rFonts w:ascii="Times New Roman" w:hAnsi="Times New Roman"/>
          <w:bCs/>
          <w:sz w:val="24"/>
          <w:szCs w:val="24"/>
          <w:lang w:val="en-AU"/>
        </w:rPr>
        <w:t>nove</w:t>
      </w:r>
      <w:proofErr w:type="spellEnd"/>
      <w:r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AU"/>
        </w:rPr>
        <w:t>generacije</w:t>
      </w:r>
      <w:proofErr w:type="spellEnd"/>
      <w:r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 odnosu na plan izvršeno 100,00%, odnosi se na </w:t>
      </w:r>
      <w:proofErr w:type="spellStart"/>
      <w:r w:rsidRPr="0051479C">
        <w:rPr>
          <w:rFonts w:ascii="Times New Roman" w:hAnsi="Times New Roman"/>
          <w:bCs/>
          <w:sz w:val="24"/>
          <w:szCs w:val="24"/>
          <w:lang w:val="en-AU"/>
        </w:rPr>
        <w:t>doznaku</w:t>
      </w:r>
      <w:proofErr w:type="spellEnd"/>
      <w:r w:rsidRPr="0051479C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51479C">
        <w:rPr>
          <w:rFonts w:ascii="Times New Roman" w:hAnsi="Times New Roman"/>
          <w:bCs/>
          <w:sz w:val="24"/>
          <w:szCs w:val="24"/>
          <w:lang w:val="en-AU"/>
        </w:rPr>
        <w:t>sredstava</w:t>
      </w:r>
      <w:proofErr w:type="spellEnd"/>
      <w:r w:rsidRPr="0051479C">
        <w:rPr>
          <w:rFonts w:ascii="Times New Roman" w:hAnsi="Times New Roman"/>
          <w:bCs/>
          <w:sz w:val="24"/>
          <w:szCs w:val="24"/>
          <w:lang w:val="en-AU"/>
        </w:rPr>
        <w:t xml:space="preserve"> za NPOO </w:t>
      </w:r>
      <w:proofErr w:type="spellStart"/>
      <w:r w:rsidRPr="0051479C">
        <w:rPr>
          <w:rFonts w:ascii="Times New Roman" w:hAnsi="Times New Roman"/>
          <w:bCs/>
          <w:sz w:val="24"/>
          <w:szCs w:val="24"/>
          <w:lang w:val="en-AU"/>
        </w:rPr>
        <w:t>projekte</w:t>
      </w:r>
      <w:proofErr w:type="spellEnd"/>
      <w:r w:rsidRPr="0051479C">
        <w:rPr>
          <w:rFonts w:ascii="Times New Roman" w:hAnsi="Times New Roman"/>
          <w:bCs/>
          <w:sz w:val="24"/>
          <w:szCs w:val="24"/>
          <w:lang w:val="en-AU"/>
        </w:rPr>
        <w:t>.</w:t>
      </w:r>
    </w:p>
    <w:p w:rsidR="0032700C" w:rsidRPr="0051479C" w:rsidRDefault="002A70A4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51479C">
        <w:rPr>
          <w:rFonts w:ascii="Times New Roman" w:hAnsi="Times New Roman"/>
          <w:bCs/>
          <w:sz w:val="24"/>
          <w:szCs w:val="24"/>
        </w:rPr>
        <w:t>Na izvoru 61 Donacije</w:t>
      </w:r>
      <w:r w:rsidR="009E4788" w:rsidRPr="0051479C">
        <w:rPr>
          <w:rFonts w:ascii="Times New Roman" w:hAnsi="Times New Roman"/>
          <w:bCs/>
          <w:sz w:val="24"/>
          <w:szCs w:val="24"/>
        </w:rPr>
        <w:t xml:space="preserve"> </w:t>
      </w:r>
      <w:r w:rsidRPr="0051479C">
        <w:rPr>
          <w:rFonts w:ascii="Times New Roman" w:hAnsi="Times New Roman"/>
          <w:bCs/>
          <w:sz w:val="24"/>
          <w:szCs w:val="24"/>
        </w:rPr>
        <w:t xml:space="preserve">u odnosu na plan izvršeno </w:t>
      </w:r>
      <w:r w:rsidR="0051479C" w:rsidRPr="0051479C">
        <w:rPr>
          <w:rFonts w:ascii="Times New Roman" w:hAnsi="Times New Roman"/>
          <w:bCs/>
          <w:sz w:val="24"/>
          <w:szCs w:val="24"/>
        </w:rPr>
        <w:t>99,98</w:t>
      </w:r>
      <w:r w:rsidRPr="0051479C">
        <w:rPr>
          <w:rFonts w:ascii="Times New Roman" w:hAnsi="Times New Roman"/>
          <w:bCs/>
          <w:sz w:val="24"/>
          <w:szCs w:val="24"/>
        </w:rPr>
        <w:t xml:space="preserve">%, </w:t>
      </w:r>
      <w:r w:rsidR="009E4788" w:rsidRPr="0051479C">
        <w:rPr>
          <w:rFonts w:ascii="Times New Roman" w:hAnsi="Times New Roman"/>
          <w:bCs/>
          <w:sz w:val="24"/>
          <w:szCs w:val="24"/>
        </w:rPr>
        <w:t>d</w:t>
      </w:r>
      <w:r w:rsidRPr="0051479C">
        <w:rPr>
          <w:rFonts w:ascii="Times New Roman" w:hAnsi="Times New Roman"/>
          <w:bCs/>
          <w:sz w:val="24"/>
          <w:szCs w:val="24"/>
        </w:rPr>
        <w:t>obivene su</w:t>
      </w:r>
      <w:r w:rsidR="009E4788" w:rsidRPr="0051479C">
        <w:rPr>
          <w:rFonts w:ascii="Times New Roman" w:hAnsi="Times New Roman"/>
          <w:bCs/>
          <w:sz w:val="24"/>
          <w:szCs w:val="24"/>
        </w:rPr>
        <w:t xml:space="preserve"> od poslovnih subjekata izvan općeg proračuna</w:t>
      </w:r>
      <w:r w:rsidR="00C67039" w:rsidRPr="0051479C">
        <w:rPr>
          <w:rFonts w:ascii="Times New Roman" w:hAnsi="Times New Roman"/>
          <w:bCs/>
          <w:sz w:val="24"/>
          <w:szCs w:val="24"/>
        </w:rPr>
        <w:t>, udruga, pravnih i fizičkih osoba</w:t>
      </w:r>
      <w:r w:rsidR="009E4788" w:rsidRPr="0051479C">
        <w:rPr>
          <w:rFonts w:ascii="Times New Roman" w:hAnsi="Times New Roman"/>
          <w:bCs/>
          <w:sz w:val="24"/>
          <w:szCs w:val="24"/>
        </w:rPr>
        <w:t xml:space="preserve">. </w:t>
      </w:r>
      <w:r w:rsidR="00D662B8" w:rsidRPr="0051479C">
        <w:rPr>
          <w:rFonts w:ascii="Times New Roman" w:hAnsi="Times New Roman"/>
          <w:bCs/>
          <w:sz w:val="24"/>
          <w:szCs w:val="24"/>
        </w:rPr>
        <w:t xml:space="preserve">Donacije su u odnosu na prošlu godinu više izvršene, bilo je više </w:t>
      </w:r>
      <w:r w:rsidRPr="0051479C">
        <w:rPr>
          <w:rFonts w:ascii="Times New Roman" w:hAnsi="Times New Roman"/>
          <w:bCs/>
          <w:sz w:val="24"/>
          <w:szCs w:val="24"/>
        </w:rPr>
        <w:t xml:space="preserve">dobivenih </w:t>
      </w:r>
      <w:r w:rsidR="00D662B8" w:rsidRPr="0051479C">
        <w:rPr>
          <w:rFonts w:ascii="Times New Roman" w:hAnsi="Times New Roman"/>
          <w:bCs/>
          <w:sz w:val="24"/>
          <w:szCs w:val="24"/>
        </w:rPr>
        <w:t>d</w:t>
      </w:r>
      <w:r w:rsidR="00996839" w:rsidRPr="0051479C">
        <w:rPr>
          <w:rFonts w:ascii="Times New Roman" w:hAnsi="Times New Roman"/>
          <w:bCs/>
          <w:sz w:val="24"/>
          <w:szCs w:val="24"/>
        </w:rPr>
        <w:t xml:space="preserve">onacija za </w:t>
      </w:r>
      <w:r w:rsidRPr="0051479C">
        <w:rPr>
          <w:rFonts w:ascii="Times New Roman" w:hAnsi="Times New Roman"/>
          <w:bCs/>
          <w:sz w:val="24"/>
          <w:szCs w:val="24"/>
        </w:rPr>
        <w:t xml:space="preserve">organizaciju i </w:t>
      </w:r>
      <w:r w:rsidR="00996839" w:rsidRPr="0051479C">
        <w:rPr>
          <w:rFonts w:ascii="Times New Roman" w:hAnsi="Times New Roman"/>
          <w:bCs/>
          <w:sz w:val="24"/>
          <w:szCs w:val="24"/>
        </w:rPr>
        <w:t>provedbu</w:t>
      </w:r>
      <w:r w:rsidR="009851BB" w:rsidRPr="0051479C">
        <w:rPr>
          <w:rFonts w:ascii="Times New Roman" w:hAnsi="Times New Roman"/>
          <w:bCs/>
          <w:sz w:val="24"/>
          <w:szCs w:val="24"/>
        </w:rPr>
        <w:t xml:space="preserve"> kongresa,</w:t>
      </w:r>
      <w:r w:rsidR="00996839" w:rsidRPr="0051479C">
        <w:rPr>
          <w:rFonts w:ascii="Times New Roman" w:hAnsi="Times New Roman"/>
          <w:bCs/>
          <w:sz w:val="24"/>
          <w:szCs w:val="24"/>
        </w:rPr>
        <w:t xml:space="preserve"> studentskih </w:t>
      </w:r>
      <w:r w:rsidRPr="0051479C">
        <w:rPr>
          <w:rFonts w:ascii="Times New Roman" w:hAnsi="Times New Roman"/>
          <w:bCs/>
          <w:sz w:val="24"/>
          <w:szCs w:val="24"/>
        </w:rPr>
        <w:t>programa</w:t>
      </w:r>
      <w:r w:rsidR="00D662B8" w:rsidRPr="0051479C">
        <w:rPr>
          <w:rFonts w:ascii="Times New Roman" w:hAnsi="Times New Roman"/>
          <w:bCs/>
          <w:sz w:val="24"/>
          <w:szCs w:val="24"/>
        </w:rPr>
        <w:t xml:space="preserve"> i radionica</w:t>
      </w:r>
      <w:r w:rsidRPr="0051479C">
        <w:rPr>
          <w:rFonts w:ascii="Times New Roman" w:hAnsi="Times New Roman"/>
          <w:bCs/>
          <w:sz w:val="24"/>
          <w:szCs w:val="24"/>
        </w:rPr>
        <w:t>, te za dodjelu studentskih nagrada</w:t>
      </w:r>
      <w:r w:rsidR="00D662B8" w:rsidRPr="0051479C">
        <w:rPr>
          <w:rFonts w:ascii="Times New Roman" w:hAnsi="Times New Roman"/>
          <w:bCs/>
          <w:sz w:val="24"/>
          <w:szCs w:val="24"/>
        </w:rPr>
        <w:t>.</w:t>
      </w:r>
      <w:r w:rsidRPr="0051479C">
        <w:rPr>
          <w:rFonts w:ascii="Arial" w:eastAsia="Times New Roman" w:hAnsi="Arial" w:cs="Arial"/>
          <w:sz w:val="20"/>
          <w:szCs w:val="20"/>
          <w:lang w:val="en-AU" w:eastAsia="hr-HR"/>
        </w:rPr>
        <w:t xml:space="preserve"> </w:t>
      </w:r>
    </w:p>
    <w:p w:rsidR="001A0921" w:rsidRPr="0051479C" w:rsidRDefault="002A70A4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1479C">
        <w:rPr>
          <w:rFonts w:ascii="Times New Roman" w:hAnsi="Times New Roman"/>
          <w:bCs/>
          <w:sz w:val="24"/>
          <w:szCs w:val="24"/>
        </w:rPr>
        <w:t xml:space="preserve">Na izvoru 71 </w:t>
      </w:r>
      <w:r w:rsidR="00506079" w:rsidRPr="0051479C">
        <w:rPr>
          <w:rFonts w:ascii="Times New Roman" w:hAnsi="Times New Roman"/>
          <w:bCs/>
          <w:sz w:val="24"/>
          <w:szCs w:val="24"/>
        </w:rPr>
        <w:t xml:space="preserve">Prihodi od </w:t>
      </w:r>
      <w:r w:rsidRPr="0051479C">
        <w:rPr>
          <w:rFonts w:ascii="Times New Roman" w:hAnsi="Times New Roman"/>
          <w:bCs/>
          <w:sz w:val="24"/>
          <w:szCs w:val="24"/>
        </w:rPr>
        <w:t>nefinancijske</w:t>
      </w:r>
      <w:r w:rsidR="00506079" w:rsidRPr="0051479C">
        <w:rPr>
          <w:rFonts w:ascii="Times New Roman" w:hAnsi="Times New Roman"/>
          <w:bCs/>
          <w:sz w:val="24"/>
          <w:szCs w:val="24"/>
        </w:rPr>
        <w:t xml:space="preserve"> imovine sadrž</w:t>
      </w:r>
      <w:r w:rsidR="001A0921" w:rsidRPr="0051479C">
        <w:rPr>
          <w:rFonts w:ascii="Times New Roman" w:hAnsi="Times New Roman"/>
          <w:bCs/>
          <w:sz w:val="24"/>
          <w:szCs w:val="24"/>
        </w:rPr>
        <w:t>ani su prihodi</w:t>
      </w:r>
      <w:r w:rsidR="00506079" w:rsidRPr="0051479C">
        <w:rPr>
          <w:rFonts w:ascii="Times New Roman" w:hAnsi="Times New Roman"/>
          <w:bCs/>
          <w:sz w:val="24"/>
          <w:szCs w:val="24"/>
        </w:rPr>
        <w:t xml:space="preserve"> od </w:t>
      </w:r>
      <w:r w:rsidRPr="0051479C">
        <w:rPr>
          <w:rFonts w:ascii="Times New Roman" w:hAnsi="Times New Roman"/>
          <w:bCs/>
          <w:sz w:val="24"/>
          <w:szCs w:val="24"/>
        </w:rPr>
        <w:t>uplata za stambene objekte, koji</w:t>
      </w:r>
      <w:r w:rsidR="00506079" w:rsidRPr="0051479C">
        <w:rPr>
          <w:rFonts w:ascii="Times New Roman" w:hAnsi="Times New Roman"/>
          <w:bCs/>
          <w:sz w:val="24"/>
          <w:szCs w:val="24"/>
        </w:rPr>
        <w:t xml:space="preserve"> su</w:t>
      </w:r>
      <w:r w:rsidRPr="0051479C">
        <w:rPr>
          <w:rFonts w:ascii="Times New Roman" w:hAnsi="Times New Roman"/>
          <w:bCs/>
          <w:sz w:val="24"/>
          <w:szCs w:val="24"/>
        </w:rPr>
        <w:t xml:space="preserve"> u odnosu na plan izvršeni </w:t>
      </w:r>
      <w:r w:rsidR="0051479C" w:rsidRPr="0051479C">
        <w:rPr>
          <w:rFonts w:ascii="Times New Roman" w:hAnsi="Times New Roman"/>
          <w:bCs/>
          <w:sz w:val="24"/>
          <w:szCs w:val="24"/>
        </w:rPr>
        <w:t>97,33</w:t>
      </w:r>
      <w:r w:rsidRPr="0051479C">
        <w:rPr>
          <w:rFonts w:ascii="Times New Roman" w:hAnsi="Times New Roman"/>
          <w:bCs/>
          <w:sz w:val="24"/>
          <w:szCs w:val="24"/>
        </w:rPr>
        <w:t xml:space="preserve">%. </w:t>
      </w:r>
    </w:p>
    <w:p w:rsidR="001A0921" w:rsidRDefault="001A0921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637D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9E4788" w:rsidRPr="009E4788" w:rsidRDefault="00E86EFF" w:rsidP="0051479C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40F64">
        <w:rPr>
          <w:rFonts w:ascii="Times New Roman" w:hAnsi="Times New Roman"/>
          <w:bCs/>
          <w:sz w:val="24"/>
          <w:szCs w:val="24"/>
        </w:rPr>
        <w:t>Ukupni rashodi za 2025</w:t>
      </w:r>
      <w:r w:rsidR="009E4788" w:rsidRPr="00240F64">
        <w:rPr>
          <w:rFonts w:ascii="Times New Roman" w:hAnsi="Times New Roman"/>
          <w:bCs/>
          <w:sz w:val="24"/>
          <w:szCs w:val="24"/>
        </w:rPr>
        <w:t>. go</w:t>
      </w:r>
      <w:r w:rsidR="00075D39" w:rsidRPr="00240F64">
        <w:rPr>
          <w:rFonts w:ascii="Times New Roman" w:hAnsi="Times New Roman"/>
          <w:bCs/>
          <w:sz w:val="24"/>
          <w:szCs w:val="24"/>
        </w:rPr>
        <w:t xml:space="preserve">dinu planirani su u iznosu </w:t>
      </w:r>
      <w:r w:rsidR="00240F64" w:rsidRPr="00240F64">
        <w:rPr>
          <w:rFonts w:ascii="Times New Roman" w:hAnsi="Times New Roman"/>
          <w:bCs/>
          <w:sz w:val="24"/>
          <w:szCs w:val="24"/>
        </w:rPr>
        <w:t>11.523.580</w:t>
      </w:r>
      <w:r w:rsidR="00416000" w:rsidRPr="00240F64">
        <w:rPr>
          <w:rFonts w:ascii="Times New Roman" w:hAnsi="Times New Roman"/>
          <w:bCs/>
          <w:sz w:val="24"/>
          <w:szCs w:val="24"/>
        </w:rPr>
        <w:t>,00 eura</w:t>
      </w:r>
      <w:r w:rsidR="009E4788" w:rsidRPr="00240F64">
        <w:rPr>
          <w:rFonts w:ascii="Times New Roman" w:hAnsi="Times New Roman"/>
          <w:bCs/>
          <w:sz w:val="24"/>
          <w:szCs w:val="24"/>
        </w:rPr>
        <w:t>, a ostvareni su u</w:t>
      </w:r>
      <w:r w:rsidR="00075D39" w:rsidRPr="00240F64">
        <w:rPr>
          <w:rFonts w:ascii="Times New Roman" w:hAnsi="Times New Roman"/>
          <w:bCs/>
          <w:sz w:val="24"/>
          <w:szCs w:val="24"/>
        </w:rPr>
        <w:t xml:space="preserve"> iznosu </w:t>
      </w:r>
      <w:r w:rsidR="00240F64" w:rsidRPr="00240F64">
        <w:rPr>
          <w:rFonts w:ascii="Times New Roman" w:hAnsi="Times New Roman"/>
          <w:bCs/>
          <w:sz w:val="24"/>
          <w:szCs w:val="24"/>
        </w:rPr>
        <w:t>11.085.578,30</w:t>
      </w:r>
      <w:r w:rsidR="00416000" w:rsidRPr="00240F64">
        <w:rPr>
          <w:rFonts w:ascii="Times New Roman" w:hAnsi="Times New Roman"/>
          <w:bCs/>
          <w:sz w:val="24"/>
          <w:szCs w:val="24"/>
        </w:rPr>
        <w:t xml:space="preserve"> eura</w:t>
      </w:r>
      <w:r w:rsidR="00240F64" w:rsidRPr="00240F64">
        <w:rPr>
          <w:rFonts w:ascii="Times New Roman" w:hAnsi="Times New Roman"/>
          <w:bCs/>
          <w:sz w:val="24"/>
          <w:szCs w:val="24"/>
        </w:rPr>
        <w:t>, što je 96,20</w:t>
      </w:r>
      <w:r w:rsidR="001B7C59" w:rsidRPr="00240F64">
        <w:rPr>
          <w:rFonts w:ascii="Times New Roman" w:hAnsi="Times New Roman"/>
          <w:bCs/>
          <w:sz w:val="24"/>
          <w:szCs w:val="24"/>
        </w:rPr>
        <w:t>% u odnosu na godišnji plan.</w:t>
      </w:r>
      <w:r w:rsidR="00656A92" w:rsidRPr="00240F64">
        <w:rPr>
          <w:rFonts w:ascii="Times New Roman" w:hAnsi="Times New Roman"/>
          <w:bCs/>
          <w:sz w:val="24"/>
          <w:szCs w:val="24"/>
        </w:rPr>
        <w:t xml:space="preserve"> </w:t>
      </w:r>
      <w:r w:rsidR="009E4788" w:rsidRPr="00240F64">
        <w:rPr>
          <w:rFonts w:ascii="Times New Roman" w:hAnsi="Times New Roman"/>
          <w:bCs/>
          <w:sz w:val="24"/>
          <w:szCs w:val="24"/>
        </w:rPr>
        <w:t xml:space="preserve">Pregled </w:t>
      </w:r>
      <w:r>
        <w:rPr>
          <w:rFonts w:ascii="Times New Roman" w:hAnsi="Times New Roman"/>
          <w:bCs/>
          <w:sz w:val="24"/>
          <w:szCs w:val="24"/>
        </w:rPr>
        <w:t xml:space="preserve">planiranih i ostvarenih </w:t>
      </w:r>
      <w:r w:rsidR="009E4788" w:rsidRPr="009E4788">
        <w:rPr>
          <w:rFonts w:ascii="Times New Roman" w:hAnsi="Times New Roman"/>
          <w:bCs/>
          <w:sz w:val="24"/>
          <w:szCs w:val="24"/>
        </w:rPr>
        <w:t xml:space="preserve">rashoda prema </w:t>
      </w:r>
      <w:r w:rsidRPr="00E86EFF">
        <w:rPr>
          <w:rFonts w:ascii="Times New Roman" w:hAnsi="Times New Roman"/>
          <w:bCs/>
          <w:sz w:val="24"/>
          <w:szCs w:val="24"/>
        </w:rPr>
        <w:t>izvoru financiranja daje se u tabličnom prikazu: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320"/>
        <w:gridCol w:w="723"/>
        <w:gridCol w:w="1756"/>
        <w:gridCol w:w="1836"/>
        <w:gridCol w:w="993"/>
      </w:tblGrid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Vrsta rashoda</w:t>
            </w:r>
          </w:p>
        </w:tc>
        <w:tc>
          <w:tcPr>
            <w:tcW w:w="723" w:type="dxa"/>
          </w:tcPr>
          <w:p w:rsidR="00E86EFF" w:rsidRPr="00E86EFF" w:rsidRDefault="00B31312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Izvor </w:t>
            </w:r>
          </w:p>
        </w:tc>
        <w:tc>
          <w:tcPr>
            <w:tcW w:w="1756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836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99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240F64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04E">
              <w:rPr>
                <w:rFonts w:ascii="Times New Roman" w:hAnsi="Times New Roman"/>
                <w:bCs/>
                <w:sz w:val="24"/>
                <w:szCs w:val="24"/>
              </w:rPr>
              <w:t>Opći prihodi i primici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56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9.060.855,00</w:t>
            </w:r>
          </w:p>
        </w:tc>
        <w:tc>
          <w:tcPr>
            <w:tcW w:w="1836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8.917.020,92</w:t>
            </w:r>
          </w:p>
        </w:tc>
        <w:tc>
          <w:tcPr>
            <w:tcW w:w="993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98,41</w:t>
            </w:r>
          </w:p>
        </w:tc>
      </w:tr>
      <w:tr w:rsidR="00E86EFF" w:rsidRPr="00E86EFF" w:rsidTr="00C22790">
        <w:tc>
          <w:tcPr>
            <w:tcW w:w="4320" w:type="dxa"/>
          </w:tcPr>
          <w:p w:rsidR="00E86EFF" w:rsidRPr="00E86EFF" w:rsidRDefault="00240F64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Vlastiti prihodi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56" w:type="dxa"/>
          </w:tcPr>
          <w:p w:rsidR="00E86EFF" w:rsidRPr="002D70CB" w:rsidRDefault="00C41116" w:rsidP="00C2279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EE51FF" w:rsidRPr="002D70CB">
              <w:rPr>
                <w:rFonts w:ascii="Times New Roman" w:hAnsi="Times New Roman"/>
                <w:bCs/>
                <w:sz w:val="24"/>
                <w:szCs w:val="24"/>
              </w:rPr>
              <w:t>325.950</w:t>
            </w:r>
            <w:r w:rsidR="00C22790" w:rsidRPr="002D70CB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36" w:type="dxa"/>
          </w:tcPr>
          <w:p w:rsidR="00E86EFF" w:rsidRPr="002D70CB" w:rsidRDefault="00EE51FF" w:rsidP="00C41116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41116"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1116" w:rsidRPr="002D70CB">
              <w:rPr>
                <w:rFonts w:ascii="Times New Roman" w:hAnsi="Times New Roman"/>
                <w:bCs/>
                <w:sz w:val="24"/>
                <w:szCs w:val="24"/>
              </w:rPr>
              <w:t>316.079,32</w:t>
            </w:r>
          </w:p>
        </w:tc>
        <w:tc>
          <w:tcPr>
            <w:tcW w:w="993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96,97</w:t>
            </w:r>
          </w:p>
        </w:tc>
      </w:tr>
      <w:tr w:rsidR="00E86EFF" w:rsidRPr="00E86EFF" w:rsidTr="00240F64">
        <w:trPr>
          <w:trHeight w:val="287"/>
        </w:trPr>
        <w:tc>
          <w:tcPr>
            <w:tcW w:w="4320" w:type="dxa"/>
          </w:tcPr>
          <w:p w:rsidR="00E86EFF" w:rsidRPr="00E86EFF" w:rsidRDefault="00240F64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Ostali p</w:t>
            </w: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rihodi za posebne namjene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56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1.775.878,00</w:t>
            </w:r>
          </w:p>
        </w:tc>
        <w:tc>
          <w:tcPr>
            <w:tcW w:w="1836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1.587.403,81</w:t>
            </w:r>
          </w:p>
        </w:tc>
        <w:tc>
          <w:tcPr>
            <w:tcW w:w="993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89,39</w:t>
            </w:r>
          </w:p>
        </w:tc>
      </w:tr>
      <w:tr w:rsidR="00B31312" w:rsidRPr="00E86EFF" w:rsidTr="00972C4A">
        <w:tc>
          <w:tcPr>
            <w:tcW w:w="4320" w:type="dxa"/>
          </w:tcPr>
          <w:p w:rsidR="00B31312" w:rsidRDefault="00B31312" w:rsidP="00B3131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Pomoći </w:t>
            </w:r>
            <w:r w:rsidR="00240F64">
              <w:rPr>
                <w:rFonts w:ascii="Times New Roman" w:hAnsi="Times New Roman"/>
                <w:bCs/>
                <w:sz w:val="24"/>
                <w:szCs w:val="24"/>
              </w:rPr>
              <w:t>EU</w:t>
            </w:r>
          </w:p>
        </w:tc>
        <w:tc>
          <w:tcPr>
            <w:tcW w:w="723" w:type="dxa"/>
          </w:tcPr>
          <w:p w:rsidR="00B31312" w:rsidRPr="00E86EFF" w:rsidRDefault="00B31312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56" w:type="dxa"/>
          </w:tcPr>
          <w:p w:rsidR="00B31312" w:rsidRPr="002D70CB" w:rsidRDefault="00C41116" w:rsidP="00C41116">
            <w:pPr>
              <w:tabs>
                <w:tab w:val="left" w:pos="1371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        965,00</w:t>
            </w:r>
          </w:p>
        </w:tc>
        <w:tc>
          <w:tcPr>
            <w:tcW w:w="1836" w:type="dxa"/>
          </w:tcPr>
          <w:p w:rsidR="00B31312" w:rsidRPr="002D70CB" w:rsidRDefault="00C41116" w:rsidP="00C41116">
            <w:pPr>
              <w:tabs>
                <w:tab w:val="left" w:pos="1416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        964,79</w:t>
            </w:r>
          </w:p>
        </w:tc>
        <w:tc>
          <w:tcPr>
            <w:tcW w:w="993" w:type="dxa"/>
          </w:tcPr>
          <w:p w:rsidR="00B31312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99,98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B31312" w:rsidP="00B3131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Ostale pomoći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56" w:type="dxa"/>
          </w:tcPr>
          <w:p w:rsidR="00E86EFF" w:rsidRPr="002D70CB" w:rsidRDefault="00C41116" w:rsidP="00C41116">
            <w:pPr>
              <w:tabs>
                <w:tab w:val="left" w:pos="1256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186.220,00</w:t>
            </w:r>
          </w:p>
        </w:tc>
        <w:tc>
          <w:tcPr>
            <w:tcW w:w="1836" w:type="dxa"/>
          </w:tcPr>
          <w:p w:rsidR="00E86EFF" w:rsidRPr="002D70CB" w:rsidRDefault="00EE51FF" w:rsidP="00C41116">
            <w:pPr>
              <w:tabs>
                <w:tab w:val="left" w:pos="1427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C41116"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169.167,70</w:t>
            </w:r>
          </w:p>
        </w:tc>
        <w:tc>
          <w:tcPr>
            <w:tcW w:w="993" w:type="dxa"/>
          </w:tcPr>
          <w:p w:rsidR="00E86EFF" w:rsidRPr="002D70CB" w:rsidRDefault="00C41116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90,84</w:t>
            </w:r>
          </w:p>
        </w:tc>
      </w:tr>
      <w:tr w:rsidR="00B31312" w:rsidRPr="00E86EFF" w:rsidTr="00972C4A">
        <w:tc>
          <w:tcPr>
            <w:tcW w:w="4320" w:type="dxa"/>
          </w:tcPr>
          <w:p w:rsidR="00B31312" w:rsidRPr="00E86EFF" w:rsidRDefault="00B31312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B86">
              <w:rPr>
                <w:rFonts w:ascii="Times New Roman" w:hAnsi="Times New Roman"/>
                <w:bCs/>
                <w:sz w:val="24"/>
                <w:szCs w:val="24"/>
              </w:rPr>
              <w:t>Instrumenti EU nove generacije</w:t>
            </w:r>
          </w:p>
        </w:tc>
        <w:tc>
          <w:tcPr>
            <w:tcW w:w="723" w:type="dxa"/>
          </w:tcPr>
          <w:p w:rsidR="00B31312" w:rsidRPr="00E86EFF" w:rsidRDefault="00B31312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56" w:type="dxa"/>
          </w:tcPr>
          <w:p w:rsidR="00B31312" w:rsidRPr="002D70CB" w:rsidRDefault="002D70C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  78.962,00</w:t>
            </w:r>
          </w:p>
        </w:tc>
        <w:tc>
          <w:tcPr>
            <w:tcW w:w="1836" w:type="dxa"/>
          </w:tcPr>
          <w:p w:rsidR="00B31312" w:rsidRPr="002D70CB" w:rsidRDefault="002D70C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     3.415,67</w:t>
            </w:r>
          </w:p>
        </w:tc>
        <w:tc>
          <w:tcPr>
            <w:tcW w:w="993" w:type="dxa"/>
          </w:tcPr>
          <w:p w:rsidR="00B31312" w:rsidRPr="002D70CB" w:rsidRDefault="002D70C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4,33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756" w:type="dxa"/>
          </w:tcPr>
          <w:p w:rsidR="00E86EFF" w:rsidRPr="002D70CB" w:rsidRDefault="00EE51FF" w:rsidP="002D70C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C41116"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D70CB"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93.015,00</w:t>
            </w:r>
          </w:p>
        </w:tc>
        <w:tc>
          <w:tcPr>
            <w:tcW w:w="1836" w:type="dxa"/>
          </w:tcPr>
          <w:p w:rsidR="00E86EFF" w:rsidRPr="002D70CB" w:rsidRDefault="00EE51FF" w:rsidP="002D70C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2D70CB"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89.837,49</w:t>
            </w:r>
          </w:p>
        </w:tc>
        <w:tc>
          <w:tcPr>
            <w:tcW w:w="993" w:type="dxa"/>
          </w:tcPr>
          <w:p w:rsidR="00E86EFF" w:rsidRPr="002D70CB" w:rsidRDefault="002D70CB" w:rsidP="002D70CB">
            <w:pPr>
              <w:tabs>
                <w:tab w:val="left" w:pos="633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96,58</w:t>
            </w:r>
          </w:p>
        </w:tc>
      </w:tr>
      <w:tr w:rsidR="00906F2B" w:rsidRPr="00E86EFF" w:rsidTr="00972C4A">
        <w:tc>
          <w:tcPr>
            <w:tcW w:w="4320" w:type="dxa"/>
          </w:tcPr>
          <w:p w:rsidR="00906F2B" w:rsidRPr="00E86EFF" w:rsidRDefault="00240F64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F64">
              <w:rPr>
                <w:rFonts w:ascii="Times New Roman" w:hAnsi="Times New Roman"/>
                <w:bCs/>
                <w:sz w:val="24"/>
                <w:szCs w:val="24"/>
              </w:rPr>
              <w:t xml:space="preserve">Prihodi od </w:t>
            </w:r>
            <w:proofErr w:type="spellStart"/>
            <w:r w:rsidRPr="00240F64">
              <w:rPr>
                <w:rFonts w:ascii="Times New Roman" w:hAnsi="Times New Roman"/>
                <w:bCs/>
                <w:sz w:val="24"/>
                <w:szCs w:val="24"/>
              </w:rPr>
              <w:t>nef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</w:t>
            </w:r>
            <w:r w:rsidRPr="00240F64">
              <w:rPr>
                <w:rFonts w:ascii="Times New Roman" w:hAnsi="Times New Roman"/>
                <w:bCs/>
                <w:sz w:val="24"/>
                <w:szCs w:val="24"/>
              </w:rPr>
              <w:t>.imovine</w:t>
            </w:r>
            <w:proofErr w:type="spellEnd"/>
            <w:r w:rsidRPr="00240F64">
              <w:rPr>
                <w:rFonts w:ascii="Times New Roman" w:hAnsi="Times New Roman"/>
                <w:bCs/>
                <w:sz w:val="24"/>
                <w:szCs w:val="24"/>
              </w:rPr>
              <w:t xml:space="preserve"> i nadoknade štete s osnova osiguranja</w:t>
            </w:r>
          </w:p>
        </w:tc>
        <w:tc>
          <w:tcPr>
            <w:tcW w:w="723" w:type="dxa"/>
          </w:tcPr>
          <w:p w:rsidR="00906F2B" w:rsidRPr="00E86EFF" w:rsidRDefault="00906F2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756" w:type="dxa"/>
          </w:tcPr>
          <w:p w:rsidR="00906F2B" w:rsidRPr="002D70CB" w:rsidRDefault="002D70C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    1.735</w:t>
            </w:r>
            <w:r w:rsidR="00EE51FF" w:rsidRPr="002D70CB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36" w:type="dxa"/>
          </w:tcPr>
          <w:p w:rsidR="00906F2B" w:rsidRPr="002D70CB" w:rsidRDefault="00EE51FF" w:rsidP="002D70C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2D70CB"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D70CB" w:rsidRPr="002D70CB">
              <w:rPr>
                <w:rFonts w:ascii="Times New Roman" w:hAnsi="Times New Roman"/>
                <w:bCs/>
                <w:sz w:val="24"/>
                <w:szCs w:val="24"/>
              </w:rPr>
              <w:t>.688,60</w:t>
            </w:r>
          </w:p>
        </w:tc>
        <w:tc>
          <w:tcPr>
            <w:tcW w:w="993" w:type="dxa"/>
          </w:tcPr>
          <w:p w:rsidR="00906F2B" w:rsidRPr="002D70CB" w:rsidRDefault="002D70CB" w:rsidP="00E86EF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Cs/>
                <w:sz w:val="24"/>
                <w:szCs w:val="24"/>
              </w:rPr>
              <w:t xml:space="preserve">  97,33</w:t>
            </w:r>
          </w:p>
        </w:tc>
      </w:tr>
      <w:tr w:rsidR="00E86EFF" w:rsidRPr="00E86EFF" w:rsidTr="00972C4A">
        <w:tc>
          <w:tcPr>
            <w:tcW w:w="4320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EFF">
              <w:rPr>
                <w:rFonts w:ascii="Times New Roman" w:hAnsi="Times New Roman"/>
                <w:b/>
                <w:bCs/>
                <w:sz w:val="24"/>
                <w:szCs w:val="24"/>
              </w:rPr>
              <w:t>Ukupni rashodi</w:t>
            </w:r>
          </w:p>
        </w:tc>
        <w:tc>
          <w:tcPr>
            <w:tcW w:w="723" w:type="dxa"/>
          </w:tcPr>
          <w:p w:rsidR="00E86EFF" w:rsidRPr="00E86EFF" w:rsidRDefault="00E86EFF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</w:tcPr>
          <w:p w:rsidR="00E86EFF" w:rsidRPr="002D70CB" w:rsidRDefault="002D70CB" w:rsidP="002D70CB">
            <w:pPr>
              <w:tabs>
                <w:tab w:val="left" w:pos="1348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11.523.580,00</w:t>
            </w:r>
          </w:p>
        </w:tc>
        <w:tc>
          <w:tcPr>
            <w:tcW w:w="1836" w:type="dxa"/>
          </w:tcPr>
          <w:p w:rsidR="00E86EFF" w:rsidRPr="002D70CB" w:rsidRDefault="002D70CB" w:rsidP="002D70CB">
            <w:pPr>
              <w:tabs>
                <w:tab w:val="left" w:pos="1416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11.085.578,30</w:t>
            </w:r>
          </w:p>
        </w:tc>
        <w:tc>
          <w:tcPr>
            <w:tcW w:w="993" w:type="dxa"/>
          </w:tcPr>
          <w:p w:rsidR="00E86EFF" w:rsidRPr="002D70CB" w:rsidRDefault="002D70CB" w:rsidP="00E86E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70C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96,20</w:t>
            </w:r>
          </w:p>
        </w:tc>
      </w:tr>
    </w:tbl>
    <w:p w:rsidR="009E4788" w:rsidRPr="006A70C7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EE51FF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51FF">
        <w:rPr>
          <w:rFonts w:ascii="Times New Roman" w:hAnsi="Times New Roman"/>
          <w:bCs/>
          <w:sz w:val="24"/>
          <w:szCs w:val="24"/>
        </w:rPr>
        <w:t>Uzimajući u obzir apsolutne vrijednosti planiranih i ostvarenih rashoda s obzirom na izvore financiranja, vidljivo je da ostvareni rashodi razmjerno prate planirane vrijednosti</w:t>
      </w:r>
      <w:r w:rsidR="00197397" w:rsidRPr="00EE51FF">
        <w:rPr>
          <w:rFonts w:ascii="Times New Roman" w:hAnsi="Times New Roman"/>
          <w:bCs/>
          <w:sz w:val="24"/>
          <w:szCs w:val="24"/>
        </w:rPr>
        <w:t>.</w:t>
      </w:r>
    </w:p>
    <w:p w:rsidR="00DC32C3" w:rsidRPr="00AE4B2C" w:rsidRDefault="00DC32C3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2890" w:rsidRPr="003B4655" w:rsidRDefault="009E4788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B4655">
        <w:rPr>
          <w:rFonts w:ascii="Times New Roman" w:hAnsi="Times New Roman"/>
          <w:bCs/>
          <w:sz w:val="24"/>
          <w:szCs w:val="24"/>
          <w:u w:val="single"/>
        </w:rPr>
        <w:t>Rashodi poslovanja</w:t>
      </w:r>
      <w:r w:rsidR="001B7C59" w:rsidRPr="003B4655">
        <w:rPr>
          <w:rFonts w:ascii="Times New Roman" w:hAnsi="Times New Roman"/>
          <w:bCs/>
          <w:sz w:val="24"/>
          <w:szCs w:val="24"/>
        </w:rPr>
        <w:t xml:space="preserve"> planirani su za 202</w:t>
      </w:r>
      <w:r w:rsidR="00972C4A" w:rsidRPr="003B4655">
        <w:rPr>
          <w:rFonts w:ascii="Times New Roman" w:hAnsi="Times New Roman"/>
          <w:bCs/>
          <w:sz w:val="24"/>
          <w:szCs w:val="24"/>
        </w:rPr>
        <w:t>5</w:t>
      </w:r>
      <w:r w:rsidRPr="003B4655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3B4655" w:rsidRPr="003B4655">
        <w:rPr>
          <w:rFonts w:ascii="Times New Roman" w:hAnsi="Times New Roman"/>
          <w:bCs/>
          <w:sz w:val="24"/>
          <w:szCs w:val="24"/>
        </w:rPr>
        <w:t xml:space="preserve">11.523.580,00 </w:t>
      </w:r>
      <w:r w:rsidR="00416000" w:rsidRPr="003B4655">
        <w:rPr>
          <w:rFonts w:ascii="Times New Roman" w:hAnsi="Times New Roman"/>
          <w:bCs/>
          <w:sz w:val="24"/>
          <w:szCs w:val="24"/>
        </w:rPr>
        <w:t>eura</w:t>
      </w:r>
      <w:r w:rsidRPr="003B4655">
        <w:rPr>
          <w:rFonts w:ascii="Times New Roman" w:hAnsi="Times New Roman"/>
          <w:bCs/>
          <w:sz w:val="24"/>
          <w:szCs w:val="24"/>
        </w:rPr>
        <w:t xml:space="preserve">, </w:t>
      </w:r>
      <w:r w:rsidR="003B4655" w:rsidRPr="003B4655">
        <w:rPr>
          <w:rFonts w:ascii="Times New Roman" w:hAnsi="Times New Roman"/>
          <w:bCs/>
          <w:sz w:val="24"/>
          <w:szCs w:val="24"/>
        </w:rPr>
        <w:t xml:space="preserve">a </w:t>
      </w:r>
      <w:r w:rsidRPr="003B4655">
        <w:rPr>
          <w:rFonts w:ascii="Times New Roman" w:hAnsi="Times New Roman"/>
          <w:bCs/>
          <w:sz w:val="24"/>
          <w:szCs w:val="24"/>
        </w:rPr>
        <w:t xml:space="preserve">ostvareni su u iznosu </w:t>
      </w:r>
      <w:r w:rsidR="003B4655" w:rsidRPr="003B4655">
        <w:rPr>
          <w:rFonts w:ascii="Times New Roman" w:hAnsi="Times New Roman"/>
          <w:bCs/>
          <w:sz w:val="24"/>
          <w:szCs w:val="24"/>
        </w:rPr>
        <w:t>11.085.578,30</w:t>
      </w:r>
      <w:r w:rsidR="001B7C59" w:rsidRPr="003B4655">
        <w:rPr>
          <w:rFonts w:ascii="Times New Roman" w:hAnsi="Times New Roman"/>
          <w:bCs/>
          <w:sz w:val="24"/>
          <w:szCs w:val="24"/>
        </w:rPr>
        <w:t xml:space="preserve"> </w:t>
      </w:r>
      <w:r w:rsidR="00416000" w:rsidRPr="003B4655">
        <w:rPr>
          <w:rFonts w:ascii="Times New Roman" w:hAnsi="Times New Roman"/>
          <w:bCs/>
          <w:sz w:val="24"/>
          <w:szCs w:val="24"/>
        </w:rPr>
        <w:t>eura</w:t>
      </w:r>
      <w:r w:rsidR="00972C4A" w:rsidRPr="003B4655">
        <w:rPr>
          <w:rFonts w:ascii="Times New Roman" w:hAnsi="Times New Roman"/>
          <w:bCs/>
          <w:sz w:val="24"/>
          <w:szCs w:val="24"/>
        </w:rPr>
        <w:t xml:space="preserve">, što je </w:t>
      </w:r>
      <w:r w:rsidR="00C313ED">
        <w:rPr>
          <w:rFonts w:ascii="Times New Roman" w:hAnsi="Times New Roman"/>
          <w:bCs/>
          <w:sz w:val="24"/>
          <w:szCs w:val="24"/>
        </w:rPr>
        <w:t>96,77</w:t>
      </w:r>
      <w:r w:rsidRPr="003B4655">
        <w:rPr>
          <w:rFonts w:ascii="Times New Roman" w:hAnsi="Times New Roman"/>
          <w:bCs/>
          <w:sz w:val="24"/>
          <w:szCs w:val="24"/>
        </w:rPr>
        <w:t>% plana.</w:t>
      </w:r>
      <w:r w:rsidR="00012890" w:rsidRPr="003B4655">
        <w:rPr>
          <w:rFonts w:ascii="Times New Roman" w:hAnsi="Times New Roman"/>
          <w:bCs/>
          <w:sz w:val="24"/>
          <w:szCs w:val="24"/>
        </w:rPr>
        <w:t xml:space="preserve"> Rashodi poslovanja sadrže rashode za zaposlene, materijalne rashode, financijske rashode i naknade građanima i kućanstvima.</w:t>
      </w:r>
    </w:p>
    <w:p w:rsidR="002154C7" w:rsidRPr="00972C4A" w:rsidRDefault="002154C7" w:rsidP="00012890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4788" w:rsidRPr="00C313ED" w:rsidRDefault="009E4788" w:rsidP="005E7E6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313ED">
        <w:rPr>
          <w:rFonts w:ascii="Times New Roman" w:hAnsi="Times New Roman"/>
          <w:bCs/>
          <w:sz w:val="24"/>
          <w:szCs w:val="24"/>
        </w:rPr>
        <w:t>Rashode za zaposlene čine plaće koje se isplaćuju sukladno važećim kolektivnim ugovorima za jav</w:t>
      </w:r>
      <w:r w:rsidR="00012890" w:rsidRPr="00C313ED">
        <w:rPr>
          <w:rFonts w:ascii="Times New Roman" w:hAnsi="Times New Roman"/>
          <w:bCs/>
          <w:sz w:val="24"/>
          <w:szCs w:val="24"/>
        </w:rPr>
        <w:t>ne službe i djelatnosti visokog obrazovanja</w:t>
      </w:r>
      <w:r w:rsidRPr="00C313ED">
        <w:rPr>
          <w:rFonts w:ascii="Times New Roman" w:hAnsi="Times New Roman"/>
          <w:bCs/>
          <w:sz w:val="24"/>
          <w:szCs w:val="24"/>
        </w:rPr>
        <w:t xml:space="preserve"> kao i ostalim zakonskim i pod</w:t>
      </w:r>
      <w:r w:rsidR="003B4655" w:rsidRPr="00C313ED">
        <w:rPr>
          <w:rFonts w:ascii="Times New Roman" w:hAnsi="Times New Roman"/>
          <w:bCs/>
          <w:sz w:val="24"/>
          <w:szCs w:val="24"/>
        </w:rPr>
        <w:t xml:space="preserve"> </w:t>
      </w:r>
      <w:r w:rsidRPr="00C313ED">
        <w:rPr>
          <w:rFonts w:ascii="Times New Roman" w:hAnsi="Times New Roman"/>
          <w:bCs/>
          <w:sz w:val="24"/>
          <w:szCs w:val="24"/>
        </w:rPr>
        <w:t xml:space="preserve">zakonskim aktima, </w:t>
      </w:r>
      <w:r w:rsidR="00EC7664" w:rsidRPr="00C313ED">
        <w:rPr>
          <w:rFonts w:ascii="Times New Roman" w:hAnsi="Times New Roman"/>
          <w:bCs/>
          <w:sz w:val="24"/>
          <w:szCs w:val="24"/>
        </w:rPr>
        <w:t>plaće za zaposlene na projekt</w:t>
      </w:r>
      <w:r w:rsidR="003B4655" w:rsidRPr="00C313ED">
        <w:rPr>
          <w:rFonts w:ascii="Times New Roman" w:hAnsi="Times New Roman"/>
          <w:bCs/>
          <w:sz w:val="24"/>
          <w:szCs w:val="24"/>
        </w:rPr>
        <w:t xml:space="preserve">ima Hrvatske </w:t>
      </w:r>
      <w:r w:rsidR="00C313ED" w:rsidRPr="00C313ED">
        <w:rPr>
          <w:rFonts w:ascii="Times New Roman" w:hAnsi="Times New Roman"/>
          <w:bCs/>
          <w:sz w:val="24"/>
          <w:szCs w:val="24"/>
        </w:rPr>
        <w:t>zaklade za znanost i EU projekta</w:t>
      </w:r>
      <w:r w:rsidR="003B4655" w:rsidRPr="00C313ED">
        <w:rPr>
          <w:rFonts w:ascii="Times New Roman" w:hAnsi="Times New Roman"/>
          <w:bCs/>
          <w:sz w:val="24"/>
          <w:szCs w:val="24"/>
        </w:rPr>
        <w:t>,</w:t>
      </w:r>
      <w:r w:rsidR="00EC7664" w:rsidRPr="00C313ED">
        <w:rPr>
          <w:rFonts w:ascii="Times New Roman" w:hAnsi="Times New Roman"/>
          <w:bCs/>
          <w:sz w:val="24"/>
          <w:szCs w:val="24"/>
        </w:rPr>
        <w:t xml:space="preserve"> </w:t>
      </w:r>
      <w:r w:rsidRPr="00C313ED">
        <w:rPr>
          <w:rFonts w:ascii="Times New Roman" w:hAnsi="Times New Roman"/>
          <w:bCs/>
          <w:sz w:val="24"/>
          <w:szCs w:val="24"/>
        </w:rPr>
        <w:t>ostala materijalna prava kao što su jubilarne nagrade, pomoći, regres i ostalo, te doprinosi na plaće. Ostvaren</w:t>
      </w:r>
      <w:r w:rsidR="00692F7F" w:rsidRPr="00C313ED">
        <w:rPr>
          <w:rFonts w:ascii="Times New Roman" w:hAnsi="Times New Roman"/>
          <w:bCs/>
          <w:sz w:val="24"/>
          <w:szCs w:val="24"/>
        </w:rPr>
        <w:t xml:space="preserve">je ove skupine rashoda iznosi </w:t>
      </w:r>
      <w:r w:rsidR="00C313ED" w:rsidRPr="00C313ED">
        <w:rPr>
          <w:rFonts w:ascii="Times New Roman" w:hAnsi="Times New Roman"/>
          <w:bCs/>
          <w:sz w:val="24"/>
          <w:szCs w:val="24"/>
        </w:rPr>
        <w:t>99,16</w:t>
      </w:r>
      <w:r w:rsidRPr="00C313ED">
        <w:rPr>
          <w:rFonts w:ascii="Times New Roman" w:hAnsi="Times New Roman"/>
          <w:bCs/>
          <w:sz w:val="24"/>
          <w:szCs w:val="24"/>
        </w:rPr>
        <w:t xml:space="preserve">% </w:t>
      </w:r>
      <w:r w:rsidR="00692F7F" w:rsidRPr="00C313ED">
        <w:rPr>
          <w:rFonts w:ascii="Times New Roman" w:hAnsi="Times New Roman"/>
          <w:bCs/>
          <w:sz w:val="24"/>
          <w:szCs w:val="24"/>
        </w:rPr>
        <w:t xml:space="preserve">plana, a dotični rashodi čine </w:t>
      </w:r>
      <w:r w:rsidR="00C313ED" w:rsidRPr="00C313ED">
        <w:rPr>
          <w:rFonts w:ascii="Times New Roman" w:hAnsi="Times New Roman"/>
          <w:bCs/>
          <w:sz w:val="24"/>
          <w:szCs w:val="24"/>
        </w:rPr>
        <w:t>83,49</w:t>
      </w:r>
      <w:r w:rsidRPr="00C313ED">
        <w:rPr>
          <w:rFonts w:ascii="Times New Roman" w:hAnsi="Times New Roman"/>
          <w:bCs/>
          <w:sz w:val="24"/>
          <w:szCs w:val="24"/>
        </w:rPr>
        <w:t>% ukupnih rashoda poslovanja.</w:t>
      </w:r>
    </w:p>
    <w:p w:rsidR="009E4788" w:rsidRPr="00D03DB7" w:rsidRDefault="00334EB6" w:rsidP="00D03DB7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AU"/>
        </w:rPr>
      </w:pPr>
      <w:r w:rsidRPr="00D03DB7">
        <w:rPr>
          <w:rFonts w:ascii="Times New Roman" w:hAnsi="Times New Roman"/>
          <w:bCs/>
          <w:sz w:val="24"/>
          <w:szCs w:val="24"/>
        </w:rPr>
        <w:t>Najveća odstupanja</w:t>
      </w:r>
      <w:r w:rsidR="009E4788" w:rsidRPr="00D03DB7">
        <w:rPr>
          <w:rFonts w:ascii="Times New Roman" w:hAnsi="Times New Roman"/>
          <w:bCs/>
          <w:sz w:val="24"/>
          <w:szCs w:val="24"/>
        </w:rPr>
        <w:t xml:space="preserve"> u okviru materijalnih rashoda poslovanja</w:t>
      </w:r>
      <w:r w:rsidRPr="00D03DB7">
        <w:rPr>
          <w:rFonts w:ascii="Times New Roman" w:hAnsi="Times New Roman"/>
          <w:bCs/>
          <w:sz w:val="24"/>
          <w:szCs w:val="24"/>
        </w:rPr>
        <w:t xml:space="preserve"> u odnosu na prošlu godinu</w:t>
      </w:r>
      <w:r w:rsidR="009E4788" w:rsidRPr="00D03DB7">
        <w:rPr>
          <w:rFonts w:ascii="Times New Roman" w:hAnsi="Times New Roman"/>
          <w:bCs/>
          <w:sz w:val="24"/>
          <w:szCs w:val="24"/>
        </w:rPr>
        <w:t xml:space="preserve"> čine rashodi za</w:t>
      </w:r>
      <w:r w:rsidR="00AE4B2C" w:rsidRPr="00D03DB7">
        <w:rPr>
          <w:rFonts w:ascii="Times New Roman" w:hAnsi="Times New Roman"/>
          <w:bCs/>
          <w:sz w:val="24"/>
          <w:szCs w:val="24"/>
        </w:rPr>
        <w:t>:</w:t>
      </w:r>
      <w:r w:rsidR="009E4788" w:rsidRPr="00D03DB7">
        <w:rPr>
          <w:rFonts w:ascii="Times New Roman" w:hAnsi="Times New Roman"/>
          <w:bCs/>
          <w:sz w:val="24"/>
          <w:szCs w:val="24"/>
        </w:rPr>
        <w:t xml:space="preserve"> </w:t>
      </w:r>
      <w:r w:rsidRPr="00D03DB7">
        <w:rPr>
          <w:rFonts w:ascii="Times New Roman" w:hAnsi="Times New Roman"/>
          <w:bCs/>
          <w:sz w:val="24"/>
          <w:szCs w:val="24"/>
        </w:rPr>
        <w:t>službena putovanja i stručno usavršavanje zaposlenika jer se povećao broj odlazaka na kongrese i konferencije radi stručnog usavršavanja,</w:t>
      </w:r>
      <w:r w:rsidR="003B587F" w:rsidRPr="00D03DB7">
        <w:rPr>
          <w:rFonts w:ascii="Arial" w:eastAsia="Times New Roman" w:hAnsi="Arial" w:cs="Arial"/>
          <w:sz w:val="20"/>
          <w:szCs w:val="20"/>
          <w:lang w:val="en-AU" w:eastAsia="hr-HR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uredski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materijal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ostali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materijalni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rashodi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–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značajno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odstupanje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odnosu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prošlu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godinu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radi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ukidanja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računa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iz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računskog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plana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3222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Materijali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sirovine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povećanje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rashoda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usluge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telefona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interneta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pošte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prijevoza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odnosi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trošak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distribucije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knjiž</w:t>
      </w:r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ica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cjeloživotno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obrazovanje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organizirani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trošak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prijevoza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studentski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kongres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povećanje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rashoda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usluge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tekućeg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investicijskog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održavanja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odnosi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Pr="00D03D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troškove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tekućeg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održavanja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zidarske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popravke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molerske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radove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prostorijama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3B587F" w:rsidRPr="00D03DB7">
        <w:rPr>
          <w:rFonts w:ascii="Times New Roman" w:hAnsi="Times New Roman"/>
          <w:bCs/>
          <w:sz w:val="24"/>
          <w:szCs w:val="24"/>
          <w:lang w:val="en-AU"/>
        </w:rPr>
        <w:t>Fakulteta</w:t>
      </w:r>
      <w:proofErr w:type="spellEnd"/>
      <w:r w:rsidR="003B587F" w:rsidRPr="00D03DB7">
        <w:rPr>
          <w:rFonts w:ascii="Times New Roman" w:hAnsi="Times New Roman"/>
          <w:bCs/>
          <w:sz w:val="24"/>
          <w:szCs w:val="24"/>
        </w:rPr>
        <w:t xml:space="preserve">, </w:t>
      </w:r>
      <w:r w:rsidR="00D03DB7">
        <w:rPr>
          <w:rFonts w:ascii="Times New Roman" w:hAnsi="Times New Roman"/>
          <w:bCs/>
          <w:sz w:val="24"/>
          <w:szCs w:val="24"/>
        </w:rPr>
        <w:t xml:space="preserve">povećanje troškova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promidžbe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za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studentske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skupove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radionice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kojih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je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ove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godine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više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u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odnosu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na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prošlu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godinu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te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izradu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promotivnih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materijala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sa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novim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logom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za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potrebe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US"/>
        </w:rPr>
        <w:t>Fakulteta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US"/>
        </w:rPr>
        <w:t>povećanje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n</w:t>
      </w:r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aknade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troškova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osobama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izvan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radnog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odnosa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koje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odnosi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troškove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za organizaciju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studentskih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skupova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>,</w:t>
      </w:r>
      <w:r w:rsidR="00D03DB7" w:rsidRPr="00D03DB7">
        <w:rPr>
          <w:rFonts w:ascii="Times New Roman" w:hAnsi="Times New Roman"/>
          <w:bCs/>
          <w:sz w:val="24"/>
          <w:szCs w:val="24"/>
        </w:rPr>
        <w:t xml:space="preserve"> </w:t>
      </w:r>
      <w:r w:rsidR="005E7E6C" w:rsidRPr="00D03DB7">
        <w:rPr>
          <w:rFonts w:ascii="Times New Roman" w:hAnsi="Times New Roman"/>
          <w:bCs/>
          <w:sz w:val="24"/>
          <w:szCs w:val="24"/>
        </w:rPr>
        <w:t xml:space="preserve">povećanje računalnih usluga odnosi se </w:t>
      </w:r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za novo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ugovorenu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uslugu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korištenja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cloud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servera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i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održavanja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novog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web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urudžbenog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zapisnika</w:t>
      </w:r>
      <w:proofErr w:type="spellEnd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 xml:space="preserve"> s </w:t>
      </w:r>
      <w:proofErr w:type="spellStart"/>
      <w:r w:rsidR="005E7E6C" w:rsidRPr="00D03DB7">
        <w:rPr>
          <w:rFonts w:ascii="Times New Roman" w:hAnsi="Times New Roman"/>
          <w:bCs/>
          <w:sz w:val="24"/>
          <w:szCs w:val="24"/>
          <w:lang w:val="en-AU"/>
        </w:rPr>
        <w:t>c</w:t>
      </w:r>
      <w:r w:rsidR="00D03DB7">
        <w:rPr>
          <w:rFonts w:ascii="Times New Roman" w:hAnsi="Times New Roman"/>
          <w:bCs/>
          <w:sz w:val="24"/>
          <w:szCs w:val="24"/>
          <w:lang w:val="en-AU"/>
        </w:rPr>
        <w:t>iljem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digitalizacije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poslovanja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,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povećanje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troškova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članarine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odnosi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se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više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plaćene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članarine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međunarodnim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društvima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odnosu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prethodnu</w:t>
      </w:r>
      <w:proofErr w:type="spellEnd"/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D03DB7">
        <w:rPr>
          <w:rFonts w:ascii="Times New Roman" w:hAnsi="Times New Roman"/>
          <w:bCs/>
          <w:sz w:val="24"/>
          <w:szCs w:val="24"/>
          <w:lang w:val="en-AU"/>
        </w:rPr>
        <w:t>godinu</w:t>
      </w:r>
      <w:proofErr w:type="spellEnd"/>
      <w:r w:rsidR="00D03DB7" w:rsidRPr="00D03DB7">
        <w:rPr>
          <w:rFonts w:ascii="Times New Roman" w:hAnsi="Times New Roman"/>
          <w:bCs/>
          <w:sz w:val="24"/>
          <w:szCs w:val="24"/>
          <w:lang w:val="en-AU"/>
        </w:rPr>
        <w:t>.</w:t>
      </w:r>
      <w:r w:rsidR="00D03DB7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r w:rsidR="009E4788" w:rsidRPr="00D03DB7">
        <w:rPr>
          <w:rFonts w:ascii="Times New Roman" w:hAnsi="Times New Roman"/>
          <w:bCs/>
          <w:sz w:val="24"/>
          <w:szCs w:val="24"/>
        </w:rPr>
        <w:t xml:space="preserve">Ostvarenje </w:t>
      </w:r>
      <w:r w:rsidR="00A641DA" w:rsidRPr="00D03DB7">
        <w:rPr>
          <w:rFonts w:ascii="Times New Roman" w:hAnsi="Times New Roman"/>
          <w:bCs/>
          <w:sz w:val="24"/>
          <w:szCs w:val="24"/>
        </w:rPr>
        <w:t xml:space="preserve">ove skupine rashoda iznosi </w:t>
      </w:r>
      <w:r w:rsidR="00D03DB7" w:rsidRPr="00D03DB7">
        <w:rPr>
          <w:rFonts w:ascii="Times New Roman" w:hAnsi="Times New Roman"/>
          <w:bCs/>
          <w:sz w:val="24"/>
          <w:szCs w:val="24"/>
        </w:rPr>
        <w:t>86,18</w:t>
      </w:r>
      <w:r w:rsidR="009E4788" w:rsidRPr="00D03DB7">
        <w:rPr>
          <w:rFonts w:ascii="Times New Roman" w:hAnsi="Times New Roman"/>
          <w:bCs/>
          <w:sz w:val="24"/>
          <w:szCs w:val="24"/>
        </w:rPr>
        <w:t xml:space="preserve">% plana, </w:t>
      </w:r>
      <w:r w:rsidR="00D03DB7" w:rsidRPr="00D03DB7">
        <w:rPr>
          <w:rFonts w:ascii="Times New Roman" w:hAnsi="Times New Roman"/>
          <w:bCs/>
          <w:sz w:val="24"/>
          <w:szCs w:val="24"/>
        </w:rPr>
        <w:t>a materijalni rashodi čine 16,</w:t>
      </w:r>
      <w:r w:rsidRPr="00D03DB7">
        <w:rPr>
          <w:rFonts w:ascii="Times New Roman" w:hAnsi="Times New Roman"/>
          <w:bCs/>
          <w:sz w:val="24"/>
          <w:szCs w:val="24"/>
        </w:rPr>
        <w:t>3</w:t>
      </w:r>
      <w:r w:rsidR="00D03DB7" w:rsidRPr="00D03DB7">
        <w:rPr>
          <w:rFonts w:ascii="Times New Roman" w:hAnsi="Times New Roman"/>
          <w:bCs/>
          <w:sz w:val="24"/>
          <w:szCs w:val="24"/>
        </w:rPr>
        <w:t>8</w:t>
      </w:r>
      <w:r w:rsidR="009E4788" w:rsidRPr="00D03DB7">
        <w:rPr>
          <w:rFonts w:ascii="Times New Roman" w:hAnsi="Times New Roman"/>
          <w:bCs/>
          <w:sz w:val="24"/>
          <w:szCs w:val="24"/>
        </w:rPr>
        <w:t>% rashoda poslovanja.</w:t>
      </w:r>
    </w:p>
    <w:p w:rsidR="009E4788" w:rsidRPr="005429E4" w:rsidRDefault="009E4788" w:rsidP="009E478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429E4">
        <w:rPr>
          <w:rFonts w:ascii="Times New Roman" w:hAnsi="Times New Roman"/>
          <w:bCs/>
          <w:sz w:val="24"/>
          <w:szCs w:val="24"/>
        </w:rPr>
        <w:t>Financijski rashodi odnose se na sve vrste kamata sukladno proračunskim propisima, te na usluge platnog prometa, usluge vođenja poslovnog računa sukladno ugovoru s poslovnom bankom, te na sve ostale bankarske usluge</w:t>
      </w:r>
      <w:r w:rsidR="005429E4" w:rsidRPr="005429E4">
        <w:rPr>
          <w:rFonts w:ascii="Times New Roman" w:hAnsi="Times New Roman"/>
          <w:bCs/>
          <w:sz w:val="24"/>
          <w:szCs w:val="24"/>
        </w:rPr>
        <w:t xml:space="preserve"> i negativne tečajne razlike</w:t>
      </w:r>
      <w:r w:rsidRPr="005429E4">
        <w:rPr>
          <w:rFonts w:ascii="Times New Roman" w:hAnsi="Times New Roman"/>
          <w:bCs/>
          <w:sz w:val="24"/>
          <w:szCs w:val="24"/>
        </w:rPr>
        <w:t xml:space="preserve">. Ovi rashodi financiraju se iz </w:t>
      </w:r>
      <w:r w:rsidR="005429E4" w:rsidRPr="005429E4">
        <w:rPr>
          <w:rFonts w:ascii="Times New Roman" w:hAnsi="Times New Roman"/>
          <w:bCs/>
          <w:sz w:val="24"/>
          <w:szCs w:val="24"/>
        </w:rPr>
        <w:t>različitih vrsta prihoda,</w:t>
      </w:r>
      <w:r w:rsidRPr="005429E4">
        <w:rPr>
          <w:rFonts w:ascii="Times New Roman" w:hAnsi="Times New Roman"/>
          <w:bCs/>
          <w:sz w:val="24"/>
          <w:szCs w:val="24"/>
        </w:rPr>
        <w:t xml:space="preserve"> a ostvarenj</w:t>
      </w:r>
      <w:r w:rsidR="005E7E6C" w:rsidRPr="005429E4">
        <w:rPr>
          <w:rFonts w:ascii="Times New Roman" w:hAnsi="Times New Roman"/>
          <w:bCs/>
          <w:sz w:val="24"/>
          <w:szCs w:val="24"/>
        </w:rPr>
        <w:t xml:space="preserve">e plana </w:t>
      </w:r>
      <w:r w:rsidRPr="005429E4">
        <w:rPr>
          <w:rFonts w:ascii="Times New Roman" w:hAnsi="Times New Roman"/>
          <w:bCs/>
          <w:sz w:val="24"/>
          <w:szCs w:val="24"/>
        </w:rPr>
        <w:t xml:space="preserve">iznosi </w:t>
      </w:r>
      <w:r w:rsidR="005429E4" w:rsidRPr="005429E4">
        <w:rPr>
          <w:rFonts w:ascii="Times New Roman" w:hAnsi="Times New Roman"/>
          <w:bCs/>
          <w:sz w:val="24"/>
          <w:szCs w:val="24"/>
        </w:rPr>
        <w:t>98,33</w:t>
      </w:r>
      <w:r w:rsidRPr="005429E4">
        <w:rPr>
          <w:rFonts w:ascii="Times New Roman" w:hAnsi="Times New Roman"/>
          <w:bCs/>
          <w:sz w:val="24"/>
          <w:szCs w:val="24"/>
        </w:rPr>
        <w:t>%</w:t>
      </w:r>
      <w:r w:rsidR="005E7E6C" w:rsidRPr="005429E4">
        <w:rPr>
          <w:rFonts w:ascii="Times New Roman" w:hAnsi="Times New Roman"/>
          <w:bCs/>
          <w:sz w:val="24"/>
          <w:szCs w:val="24"/>
        </w:rPr>
        <w:t>, dok 0,05</w:t>
      </w:r>
      <w:r w:rsidR="00FC05A9" w:rsidRPr="005429E4">
        <w:rPr>
          <w:rFonts w:ascii="Times New Roman" w:hAnsi="Times New Roman"/>
          <w:bCs/>
          <w:sz w:val="24"/>
          <w:szCs w:val="24"/>
        </w:rPr>
        <w:t xml:space="preserve"> % čini ukupne rashode poslovanja</w:t>
      </w:r>
      <w:r w:rsidRPr="005429E4">
        <w:rPr>
          <w:rFonts w:ascii="Times New Roman" w:hAnsi="Times New Roman"/>
          <w:bCs/>
          <w:sz w:val="24"/>
          <w:szCs w:val="24"/>
        </w:rPr>
        <w:t xml:space="preserve">. Realizacija ovih rashoda </w:t>
      </w:r>
      <w:r w:rsidR="00A641DA" w:rsidRPr="005429E4">
        <w:rPr>
          <w:rFonts w:ascii="Times New Roman" w:hAnsi="Times New Roman"/>
          <w:bCs/>
          <w:sz w:val="24"/>
          <w:szCs w:val="24"/>
        </w:rPr>
        <w:t>odnosi se na troškove za provedbu bankovnih transakcija u inozemstvo, negativne tečajne razlike</w:t>
      </w:r>
      <w:r w:rsidR="005E7E6C" w:rsidRPr="005429E4">
        <w:rPr>
          <w:rFonts w:ascii="Times New Roman" w:hAnsi="Times New Roman"/>
          <w:bCs/>
          <w:sz w:val="24"/>
          <w:szCs w:val="24"/>
        </w:rPr>
        <w:t xml:space="preserve"> i</w:t>
      </w:r>
      <w:r w:rsidRPr="005429E4">
        <w:rPr>
          <w:rFonts w:ascii="Times New Roman" w:hAnsi="Times New Roman"/>
          <w:bCs/>
          <w:sz w:val="24"/>
          <w:szCs w:val="24"/>
        </w:rPr>
        <w:t xml:space="preserve"> usluge platnog prometa</w:t>
      </w:r>
      <w:r w:rsidR="006D5E5B" w:rsidRPr="005429E4">
        <w:rPr>
          <w:rFonts w:ascii="Times New Roman" w:hAnsi="Times New Roman"/>
          <w:bCs/>
          <w:sz w:val="24"/>
          <w:szCs w:val="24"/>
        </w:rPr>
        <w:t xml:space="preserve">, </w:t>
      </w:r>
      <w:r w:rsidR="005E7E6C" w:rsidRPr="005429E4">
        <w:rPr>
          <w:rFonts w:ascii="Times New Roman" w:hAnsi="Times New Roman"/>
          <w:bCs/>
          <w:sz w:val="24"/>
          <w:szCs w:val="24"/>
        </w:rPr>
        <w:t>u odnosu na prošlu godinu nema</w:t>
      </w:r>
      <w:r w:rsidR="00FC05A9" w:rsidRPr="005429E4">
        <w:rPr>
          <w:rFonts w:ascii="Times New Roman" w:hAnsi="Times New Roman"/>
          <w:bCs/>
          <w:sz w:val="24"/>
          <w:szCs w:val="24"/>
        </w:rPr>
        <w:t xml:space="preserve"> </w:t>
      </w:r>
      <w:r w:rsidR="005E7E6C" w:rsidRPr="005429E4">
        <w:rPr>
          <w:rFonts w:ascii="Times New Roman" w:hAnsi="Times New Roman"/>
          <w:bCs/>
          <w:sz w:val="24"/>
          <w:szCs w:val="24"/>
        </w:rPr>
        <w:t>zateznih kamata</w:t>
      </w:r>
      <w:r w:rsidR="00FC05A9" w:rsidRPr="005429E4">
        <w:rPr>
          <w:rFonts w:ascii="Times New Roman" w:hAnsi="Times New Roman"/>
          <w:bCs/>
          <w:sz w:val="24"/>
          <w:szCs w:val="24"/>
        </w:rPr>
        <w:t xml:space="preserve"> koje </w:t>
      </w:r>
      <w:r w:rsidR="005E7E6C" w:rsidRPr="005429E4">
        <w:rPr>
          <w:rFonts w:ascii="Times New Roman" w:hAnsi="Times New Roman"/>
          <w:bCs/>
          <w:sz w:val="24"/>
          <w:szCs w:val="24"/>
        </w:rPr>
        <w:t>su se odnosile</w:t>
      </w:r>
      <w:r w:rsidR="00FC05A9" w:rsidRPr="005429E4">
        <w:rPr>
          <w:rFonts w:ascii="Times New Roman" w:hAnsi="Times New Roman"/>
          <w:bCs/>
          <w:sz w:val="24"/>
          <w:szCs w:val="24"/>
        </w:rPr>
        <w:t xml:space="preserve"> na isplate razlike plaće u visini 6% na temelju pravomoćnih sudskih presuda u javnim službama.</w:t>
      </w:r>
      <w:r w:rsidR="00996839" w:rsidRPr="005429E4">
        <w:rPr>
          <w:rFonts w:ascii="Times New Roman" w:hAnsi="Times New Roman"/>
          <w:bCs/>
          <w:sz w:val="24"/>
          <w:szCs w:val="24"/>
        </w:rPr>
        <w:t xml:space="preserve"> </w:t>
      </w:r>
    </w:p>
    <w:p w:rsidR="009E4788" w:rsidRPr="00886A07" w:rsidRDefault="00A641DA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86A07">
        <w:rPr>
          <w:rFonts w:ascii="Times New Roman" w:hAnsi="Times New Roman"/>
          <w:bCs/>
          <w:sz w:val="24"/>
          <w:szCs w:val="24"/>
        </w:rPr>
        <w:t xml:space="preserve">Naknade građanima i kućanstvima odnose se na rashode za nagrade studentima za izvrsnost na studiju Dentalne medicine </w:t>
      </w:r>
      <w:r w:rsidR="005429E4" w:rsidRPr="00886A07">
        <w:rPr>
          <w:rFonts w:ascii="Times New Roman" w:hAnsi="Times New Roman"/>
          <w:bCs/>
          <w:sz w:val="24"/>
          <w:szCs w:val="24"/>
        </w:rPr>
        <w:t xml:space="preserve">na hrvatskom i engleskom jeziku, te specijalizacije zaposlenika Stomatološkog </w:t>
      </w:r>
      <w:r w:rsidR="005429E4" w:rsidRPr="00886A07">
        <w:rPr>
          <w:rFonts w:ascii="Times New Roman" w:hAnsi="Times New Roman"/>
          <w:bCs/>
          <w:sz w:val="24"/>
          <w:szCs w:val="24"/>
        </w:rPr>
        <w:lastRenderedPageBreak/>
        <w:t>fakulteta.</w:t>
      </w:r>
      <w:r w:rsidRPr="00886A07">
        <w:rPr>
          <w:rFonts w:ascii="Times New Roman" w:hAnsi="Times New Roman"/>
          <w:bCs/>
          <w:sz w:val="24"/>
          <w:szCs w:val="24"/>
        </w:rPr>
        <w:t xml:space="preserve"> </w:t>
      </w:r>
      <w:r w:rsidR="00FC05A9" w:rsidRPr="00886A07">
        <w:rPr>
          <w:rFonts w:ascii="Times New Roman" w:hAnsi="Times New Roman"/>
          <w:bCs/>
          <w:sz w:val="24"/>
          <w:szCs w:val="24"/>
        </w:rPr>
        <w:t xml:space="preserve">Izvršenje ove skupine rashoda iznosi </w:t>
      </w:r>
      <w:r w:rsidR="005429E4" w:rsidRPr="00886A07">
        <w:rPr>
          <w:rFonts w:ascii="Times New Roman" w:hAnsi="Times New Roman"/>
          <w:bCs/>
          <w:sz w:val="24"/>
          <w:szCs w:val="24"/>
        </w:rPr>
        <w:t>100,37</w:t>
      </w:r>
      <w:r w:rsidR="00FC05A9" w:rsidRPr="00886A07">
        <w:rPr>
          <w:rFonts w:ascii="Times New Roman" w:hAnsi="Times New Roman"/>
          <w:bCs/>
          <w:sz w:val="24"/>
          <w:szCs w:val="24"/>
        </w:rPr>
        <w:t xml:space="preserve">% plana, a </w:t>
      </w:r>
      <w:r w:rsidR="00E5379B" w:rsidRPr="00886A07">
        <w:rPr>
          <w:rFonts w:ascii="Times New Roman" w:hAnsi="Times New Roman"/>
          <w:bCs/>
          <w:sz w:val="24"/>
          <w:szCs w:val="24"/>
        </w:rPr>
        <w:t xml:space="preserve">naknade građanima i kućanstvima </w:t>
      </w:r>
      <w:r w:rsidR="00FC05A9" w:rsidRPr="00886A07">
        <w:rPr>
          <w:rFonts w:ascii="Times New Roman" w:hAnsi="Times New Roman"/>
          <w:bCs/>
          <w:sz w:val="24"/>
          <w:szCs w:val="24"/>
        </w:rPr>
        <w:t xml:space="preserve">čine </w:t>
      </w:r>
      <w:r w:rsidR="00886A07" w:rsidRPr="00886A07">
        <w:rPr>
          <w:rFonts w:ascii="Times New Roman" w:hAnsi="Times New Roman"/>
          <w:bCs/>
          <w:sz w:val="24"/>
          <w:szCs w:val="24"/>
        </w:rPr>
        <w:t>0,08</w:t>
      </w:r>
      <w:r w:rsidR="00FC05A9" w:rsidRPr="00886A07">
        <w:rPr>
          <w:rFonts w:ascii="Times New Roman" w:hAnsi="Times New Roman"/>
          <w:bCs/>
          <w:sz w:val="24"/>
          <w:szCs w:val="24"/>
        </w:rPr>
        <w:t>% rashoda poslovanja.</w:t>
      </w:r>
    </w:p>
    <w:p w:rsidR="00F878FA" w:rsidRPr="00A10AE2" w:rsidRDefault="009E4788" w:rsidP="00F878F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0AE2">
        <w:rPr>
          <w:rFonts w:ascii="Times New Roman" w:hAnsi="Times New Roman"/>
          <w:bCs/>
          <w:sz w:val="24"/>
          <w:szCs w:val="24"/>
          <w:u w:val="single"/>
        </w:rPr>
        <w:t>Rashodi za nabavu nefinancijske imovine</w:t>
      </w:r>
      <w:r w:rsidRPr="00A10AE2">
        <w:rPr>
          <w:rFonts w:ascii="Times New Roman" w:hAnsi="Times New Roman"/>
          <w:bCs/>
          <w:sz w:val="24"/>
          <w:szCs w:val="24"/>
        </w:rPr>
        <w:t xml:space="preserve"> planir</w:t>
      </w:r>
      <w:r w:rsidR="005E7E6C" w:rsidRPr="00A10AE2">
        <w:rPr>
          <w:rFonts w:ascii="Times New Roman" w:hAnsi="Times New Roman"/>
          <w:bCs/>
          <w:sz w:val="24"/>
          <w:szCs w:val="24"/>
        </w:rPr>
        <w:t>ani za 2025</w:t>
      </w:r>
      <w:r w:rsidR="002154C7" w:rsidRPr="00A10AE2">
        <w:rPr>
          <w:rFonts w:ascii="Times New Roman" w:hAnsi="Times New Roman"/>
          <w:bCs/>
          <w:sz w:val="24"/>
          <w:szCs w:val="24"/>
        </w:rPr>
        <w:t xml:space="preserve">. godinu u iznosu </w:t>
      </w:r>
      <w:r w:rsidR="00886A07" w:rsidRPr="00A10AE2">
        <w:rPr>
          <w:rFonts w:ascii="Times New Roman" w:hAnsi="Times New Roman"/>
          <w:bCs/>
          <w:sz w:val="24"/>
          <w:szCs w:val="24"/>
        </w:rPr>
        <w:t>865.599</w:t>
      </w:r>
      <w:r w:rsidRPr="00A10AE2">
        <w:rPr>
          <w:rFonts w:ascii="Times New Roman" w:hAnsi="Times New Roman"/>
          <w:bCs/>
          <w:sz w:val="24"/>
          <w:szCs w:val="24"/>
        </w:rPr>
        <w:t xml:space="preserve">,00 </w:t>
      </w:r>
      <w:r w:rsidR="00416000" w:rsidRPr="00A10AE2">
        <w:rPr>
          <w:rFonts w:ascii="Times New Roman" w:hAnsi="Times New Roman"/>
          <w:bCs/>
          <w:sz w:val="24"/>
          <w:szCs w:val="24"/>
        </w:rPr>
        <w:t>eura</w:t>
      </w:r>
      <w:r w:rsidR="008F2F06" w:rsidRPr="00A10AE2">
        <w:rPr>
          <w:rFonts w:ascii="Times New Roman" w:hAnsi="Times New Roman"/>
          <w:bCs/>
          <w:sz w:val="24"/>
          <w:szCs w:val="24"/>
        </w:rPr>
        <w:t xml:space="preserve">, a ostvareni su u iznosu </w:t>
      </w:r>
      <w:r w:rsidR="00886A07" w:rsidRPr="00A10AE2">
        <w:rPr>
          <w:rFonts w:ascii="Times New Roman" w:hAnsi="Times New Roman"/>
          <w:bCs/>
          <w:sz w:val="24"/>
          <w:szCs w:val="24"/>
        </w:rPr>
        <w:t>771.827,51</w:t>
      </w:r>
      <w:r w:rsidR="005D6CF4" w:rsidRPr="00A10AE2">
        <w:rPr>
          <w:rFonts w:ascii="Times New Roman" w:hAnsi="Times New Roman"/>
          <w:bCs/>
          <w:sz w:val="24"/>
          <w:szCs w:val="24"/>
        </w:rPr>
        <w:t xml:space="preserve"> </w:t>
      </w:r>
      <w:r w:rsidR="00416000" w:rsidRPr="00A10AE2">
        <w:rPr>
          <w:rFonts w:ascii="Times New Roman" w:hAnsi="Times New Roman"/>
          <w:bCs/>
          <w:sz w:val="24"/>
          <w:szCs w:val="24"/>
        </w:rPr>
        <w:t>eura</w:t>
      </w:r>
      <w:r w:rsidR="002236BB" w:rsidRPr="00A10AE2">
        <w:rPr>
          <w:rFonts w:ascii="Times New Roman" w:hAnsi="Times New Roman"/>
          <w:bCs/>
          <w:sz w:val="24"/>
          <w:szCs w:val="24"/>
        </w:rPr>
        <w:t xml:space="preserve">, što je </w:t>
      </w:r>
      <w:r w:rsidR="00886A07" w:rsidRPr="00A10AE2">
        <w:rPr>
          <w:rFonts w:ascii="Times New Roman" w:hAnsi="Times New Roman"/>
          <w:bCs/>
          <w:sz w:val="24"/>
          <w:szCs w:val="24"/>
        </w:rPr>
        <w:t>89,17</w:t>
      </w:r>
      <w:r w:rsidRPr="00A10AE2">
        <w:rPr>
          <w:rFonts w:ascii="Times New Roman" w:hAnsi="Times New Roman"/>
          <w:bCs/>
          <w:sz w:val="24"/>
          <w:szCs w:val="24"/>
        </w:rPr>
        <w:t>% plana.</w:t>
      </w:r>
      <w:r w:rsidR="00152DF9" w:rsidRPr="00A10AE2">
        <w:rPr>
          <w:rFonts w:ascii="Times New Roman" w:hAnsi="Times New Roman"/>
          <w:bCs/>
          <w:sz w:val="24"/>
          <w:szCs w:val="24"/>
        </w:rPr>
        <w:t xml:space="preserve"> </w:t>
      </w:r>
      <w:r w:rsidR="00F878FA" w:rsidRPr="00A10AE2">
        <w:rPr>
          <w:rFonts w:ascii="Times New Roman" w:hAnsi="Times New Roman"/>
          <w:bCs/>
          <w:sz w:val="24"/>
          <w:szCs w:val="24"/>
        </w:rPr>
        <w:t xml:space="preserve">Planirana sredstva za nabavu proizvedene dugotrajne imovine namijenjena su za potrebe redovne djelatnosti Fakulteta, prema prioritetima tekućeg poslovanja te za potrebe obavljanja određenih razvojnih aktivnosti. Najveće odstupanje u odnosu na prošlu godinu odnosi se na izvršenje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radi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stjecanja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nekretnine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na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adresi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Gundulićeva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3, 1.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kat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u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Zagrebu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, u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svrhu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korištenja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za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obavljanje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osnovne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djelatnosti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održavanje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nastave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i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znanstveno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istraživačkog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rada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>i</w:t>
      </w:r>
      <w:proofErr w:type="spellEnd"/>
      <w:r w:rsidR="00A10AE2" w:rsidRPr="00A10AE2">
        <w:rPr>
          <w:rFonts w:ascii="Times New Roman" w:hAnsi="Times New Roman"/>
          <w:bCs/>
          <w:i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nabavu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računalnog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sustava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financijsko-računovodstvenog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poslovanja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s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elektroničkim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odobravanjem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računa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u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svrhu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digitalizacije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poslovanja</w:t>
      </w:r>
      <w:proofErr w:type="spellEnd"/>
      <w:r w:rsidR="00A10AE2" w:rsidRPr="00A10AE2">
        <w:rPr>
          <w:rFonts w:ascii="Times New Roman" w:hAnsi="Times New Roman"/>
          <w:bCs/>
          <w:sz w:val="24"/>
          <w:szCs w:val="24"/>
          <w:lang w:val="en-AU"/>
        </w:rPr>
        <w:t>.</w:t>
      </w:r>
    </w:p>
    <w:p w:rsidR="009E4788" w:rsidRDefault="009E4788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63372" w:rsidRPr="00906F2B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F2B">
        <w:rPr>
          <w:rFonts w:ascii="Times New Roman" w:hAnsi="Times New Roman"/>
          <w:b/>
          <w:sz w:val="24"/>
          <w:szCs w:val="24"/>
        </w:rPr>
        <w:t>P</w:t>
      </w:r>
      <w:r w:rsidR="00AE4B2C">
        <w:rPr>
          <w:rFonts w:ascii="Times New Roman" w:hAnsi="Times New Roman"/>
          <w:b/>
          <w:sz w:val="24"/>
          <w:szCs w:val="24"/>
        </w:rPr>
        <w:t>RIJENOS SREDSTAVA IZ PRETHODNE</w:t>
      </w:r>
      <w:r w:rsidR="00942C4A" w:rsidRPr="00906F2B">
        <w:rPr>
          <w:rFonts w:ascii="Times New Roman" w:hAnsi="Times New Roman"/>
          <w:b/>
          <w:sz w:val="24"/>
          <w:szCs w:val="24"/>
        </w:rPr>
        <w:t xml:space="preserve"> U SL</w:t>
      </w:r>
      <w:r w:rsidRPr="00906F2B">
        <w:rPr>
          <w:rFonts w:ascii="Times New Roman" w:hAnsi="Times New Roman"/>
          <w:b/>
          <w:sz w:val="24"/>
          <w:szCs w:val="24"/>
        </w:rPr>
        <w:t>JEDEĆU GODINU</w:t>
      </w:r>
    </w:p>
    <w:p w:rsidR="00810F3A" w:rsidRPr="00D63372" w:rsidRDefault="00295B22" w:rsidP="00810F3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63372">
        <w:rPr>
          <w:rFonts w:ascii="Times New Roman" w:hAnsi="Times New Roman"/>
          <w:bCs/>
          <w:sz w:val="24"/>
          <w:szCs w:val="24"/>
        </w:rPr>
        <w:t>Preneseni višak prihoda u 202</w:t>
      </w:r>
      <w:r w:rsidR="00906F2B" w:rsidRPr="00D63372">
        <w:rPr>
          <w:rFonts w:ascii="Times New Roman" w:hAnsi="Times New Roman"/>
          <w:bCs/>
          <w:sz w:val="24"/>
          <w:szCs w:val="24"/>
        </w:rPr>
        <w:t>5</w:t>
      </w:r>
      <w:r w:rsidR="00810F3A" w:rsidRPr="00D63372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CC03AB" w:rsidRPr="00D63372">
        <w:rPr>
          <w:rFonts w:ascii="Times New Roman" w:hAnsi="Times New Roman"/>
          <w:bCs/>
          <w:sz w:val="24"/>
          <w:szCs w:val="24"/>
        </w:rPr>
        <w:t>2.</w:t>
      </w:r>
      <w:r w:rsidR="00906F2B" w:rsidRPr="00D63372">
        <w:rPr>
          <w:rFonts w:ascii="Times New Roman" w:hAnsi="Times New Roman"/>
          <w:bCs/>
          <w:sz w:val="24"/>
          <w:szCs w:val="24"/>
        </w:rPr>
        <w:t>418.979,70</w:t>
      </w:r>
      <w:r w:rsidRPr="00D63372">
        <w:rPr>
          <w:rFonts w:ascii="Times New Roman" w:hAnsi="Times New Roman"/>
          <w:bCs/>
          <w:sz w:val="24"/>
          <w:szCs w:val="24"/>
        </w:rPr>
        <w:t xml:space="preserve"> eura</w:t>
      </w:r>
      <w:r w:rsidR="00810F3A" w:rsidRPr="00D63372">
        <w:rPr>
          <w:rFonts w:ascii="Times New Roman" w:hAnsi="Times New Roman"/>
          <w:bCs/>
          <w:sz w:val="24"/>
          <w:szCs w:val="24"/>
        </w:rPr>
        <w:t xml:space="preserve">, </w:t>
      </w:r>
      <w:r w:rsidR="000C6C15" w:rsidRPr="00D63372">
        <w:rPr>
          <w:rFonts w:ascii="Times New Roman" w:hAnsi="Times New Roman"/>
          <w:bCs/>
          <w:sz w:val="24"/>
          <w:szCs w:val="24"/>
        </w:rPr>
        <w:t xml:space="preserve">a ostvareni višak na kraju godine za prijenos u sljedeću godinu iznosi </w:t>
      </w:r>
      <w:r w:rsidR="00D63372" w:rsidRPr="00D63372">
        <w:rPr>
          <w:rFonts w:ascii="Times New Roman" w:hAnsi="Times New Roman"/>
          <w:bCs/>
          <w:sz w:val="24"/>
          <w:szCs w:val="24"/>
        </w:rPr>
        <w:t xml:space="preserve">2.019.366,62 </w:t>
      </w:r>
      <w:r w:rsidR="000C6C15" w:rsidRPr="00D63372">
        <w:rPr>
          <w:rFonts w:ascii="Times New Roman" w:hAnsi="Times New Roman"/>
          <w:bCs/>
          <w:sz w:val="24"/>
          <w:szCs w:val="24"/>
        </w:rPr>
        <w:t>eura.</w:t>
      </w:r>
      <w:r w:rsidR="00D63372" w:rsidRPr="00D63372">
        <w:rPr>
          <w:rFonts w:ascii="Times New Roman" w:hAnsi="Times New Roman"/>
          <w:bCs/>
          <w:sz w:val="24"/>
          <w:szCs w:val="24"/>
        </w:rPr>
        <w:t xml:space="preserve"> Preneseni višak </w:t>
      </w:r>
      <w:r w:rsidR="000A12F6" w:rsidRPr="00D63372">
        <w:rPr>
          <w:rFonts w:ascii="Times New Roman" w:hAnsi="Times New Roman"/>
          <w:bCs/>
          <w:sz w:val="24"/>
          <w:szCs w:val="24"/>
        </w:rPr>
        <w:t>sredstava ostvaren u prethodni</w:t>
      </w:r>
      <w:r w:rsidR="001F5B6B" w:rsidRPr="00D63372">
        <w:rPr>
          <w:rFonts w:ascii="Times New Roman" w:hAnsi="Times New Roman"/>
          <w:bCs/>
          <w:sz w:val="24"/>
          <w:szCs w:val="24"/>
        </w:rPr>
        <w:t>m razdobljima prenosi se u sl</w:t>
      </w:r>
      <w:r w:rsidR="000A12F6" w:rsidRPr="00D63372">
        <w:rPr>
          <w:rFonts w:ascii="Times New Roman" w:hAnsi="Times New Roman"/>
          <w:bCs/>
          <w:sz w:val="24"/>
          <w:szCs w:val="24"/>
        </w:rPr>
        <w:t>jedeće razdoblje i koristit će se za pokriće redovi</w:t>
      </w:r>
      <w:r w:rsidR="00D63372" w:rsidRPr="00D63372">
        <w:rPr>
          <w:rFonts w:ascii="Times New Roman" w:hAnsi="Times New Roman"/>
          <w:bCs/>
          <w:sz w:val="24"/>
          <w:szCs w:val="24"/>
        </w:rPr>
        <w:t xml:space="preserve">tog poslovanja, </w:t>
      </w:r>
      <w:r w:rsidR="000A12F6" w:rsidRPr="00D63372">
        <w:rPr>
          <w:rFonts w:ascii="Times New Roman" w:hAnsi="Times New Roman"/>
          <w:bCs/>
          <w:sz w:val="24"/>
          <w:szCs w:val="24"/>
        </w:rPr>
        <w:t>za rashod</w:t>
      </w:r>
      <w:r w:rsidR="00D63372" w:rsidRPr="00D63372">
        <w:rPr>
          <w:rFonts w:ascii="Times New Roman" w:hAnsi="Times New Roman"/>
          <w:bCs/>
          <w:sz w:val="24"/>
          <w:szCs w:val="24"/>
        </w:rPr>
        <w:t xml:space="preserve">e nabave nefinancijske imovine, </w:t>
      </w:r>
      <w:r w:rsidR="005E20FC" w:rsidRPr="00D63372">
        <w:rPr>
          <w:rFonts w:ascii="Times New Roman" w:hAnsi="Times New Roman"/>
          <w:bCs/>
          <w:sz w:val="24"/>
          <w:szCs w:val="24"/>
        </w:rPr>
        <w:t>za pokriće rashoda ugovorenih projekata</w:t>
      </w:r>
      <w:r w:rsidR="00D63372">
        <w:rPr>
          <w:rFonts w:ascii="Times New Roman" w:hAnsi="Times New Roman"/>
          <w:bCs/>
          <w:sz w:val="24"/>
          <w:szCs w:val="24"/>
        </w:rPr>
        <w:t xml:space="preserve">, </w:t>
      </w:r>
      <w:r w:rsidR="00D63372" w:rsidRPr="00D63372">
        <w:rPr>
          <w:rFonts w:ascii="Times New Roman" w:hAnsi="Times New Roman"/>
          <w:bCs/>
          <w:sz w:val="24"/>
          <w:szCs w:val="24"/>
        </w:rPr>
        <w:t xml:space="preserve">od donacija </w:t>
      </w:r>
      <w:r w:rsidR="005E20FC" w:rsidRPr="00D63372">
        <w:rPr>
          <w:rFonts w:ascii="Times New Roman" w:hAnsi="Times New Roman"/>
          <w:bCs/>
          <w:sz w:val="24"/>
          <w:szCs w:val="24"/>
        </w:rPr>
        <w:t>namjenski u skladu s ugovorenim donacijama.</w:t>
      </w:r>
    </w:p>
    <w:p w:rsidR="00471DA4" w:rsidRDefault="00471DA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3372" w:rsidRPr="00906F2B" w:rsidRDefault="004055CC" w:rsidP="004055CC">
      <w:pPr>
        <w:jc w:val="both"/>
        <w:rPr>
          <w:rFonts w:ascii="Times New Roman" w:hAnsi="Times New Roman"/>
          <w:b/>
          <w:sz w:val="24"/>
          <w:szCs w:val="24"/>
        </w:rPr>
      </w:pPr>
      <w:r w:rsidRPr="00906F2B">
        <w:rPr>
          <w:rFonts w:ascii="Times New Roman" w:hAnsi="Times New Roman"/>
          <w:b/>
          <w:sz w:val="24"/>
          <w:szCs w:val="24"/>
        </w:rPr>
        <w:t>STANJE NOVČANIH SRE</w:t>
      </w:r>
      <w:r w:rsidR="00B30C8C" w:rsidRPr="00906F2B">
        <w:rPr>
          <w:rFonts w:ascii="Times New Roman" w:hAnsi="Times New Roman"/>
          <w:b/>
          <w:sz w:val="24"/>
          <w:szCs w:val="24"/>
        </w:rPr>
        <w:t>D</w:t>
      </w:r>
      <w:r w:rsidRPr="00906F2B">
        <w:rPr>
          <w:rFonts w:ascii="Times New Roman" w:hAnsi="Times New Roman"/>
          <w:b/>
          <w:sz w:val="24"/>
          <w:szCs w:val="24"/>
        </w:rPr>
        <w:t>STAVA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464"/>
        <w:gridCol w:w="3459"/>
      </w:tblGrid>
      <w:tr w:rsidR="004055CC" w:rsidRPr="00152DF9" w:rsidTr="002236BB">
        <w:trPr>
          <w:trHeight w:val="734"/>
        </w:trPr>
        <w:tc>
          <w:tcPr>
            <w:tcW w:w="2705" w:type="dxa"/>
          </w:tcPr>
          <w:p w:rsidR="004055CC" w:rsidRPr="00152DF9" w:rsidRDefault="004055CC" w:rsidP="00FC7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</w:t>
            </w:r>
            <w:r w:rsidR="006F4101">
              <w:rPr>
                <w:rFonts w:ascii="Times New Roman" w:hAnsi="Times New Roman"/>
                <w:sz w:val="24"/>
                <w:szCs w:val="24"/>
              </w:rPr>
              <w:t>anih sredstava na dan 01.01.2025</w:t>
            </w:r>
            <w:r w:rsidRPr="00152D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</w:t>
            </w:r>
            <w:r w:rsidR="006C2385">
              <w:rPr>
                <w:rFonts w:ascii="Times New Roman" w:hAnsi="Times New Roman"/>
                <w:sz w:val="24"/>
                <w:szCs w:val="24"/>
              </w:rPr>
              <w:t>anih sredstava na dan 31.12.2025</w:t>
            </w:r>
            <w:r w:rsidRPr="00152D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5CC" w:rsidRPr="00152DF9" w:rsidTr="002236BB">
        <w:trPr>
          <w:trHeight w:val="653"/>
        </w:trPr>
        <w:tc>
          <w:tcPr>
            <w:tcW w:w="2705" w:type="dxa"/>
            <w:vAlign w:val="center"/>
          </w:tcPr>
          <w:p w:rsidR="004055CC" w:rsidRPr="00152DF9" w:rsidRDefault="004055CC" w:rsidP="0007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F9">
              <w:rPr>
                <w:rFonts w:ascii="Times New Roman" w:hAnsi="Times New Roman"/>
                <w:sz w:val="24"/>
                <w:szCs w:val="24"/>
              </w:rPr>
              <w:t>Stanje novčanih sredstava</w:t>
            </w:r>
            <w:r w:rsidR="00416000">
              <w:rPr>
                <w:rFonts w:ascii="Times New Roman" w:hAnsi="Times New Roman"/>
                <w:sz w:val="24"/>
                <w:szCs w:val="24"/>
              </w:rPr>
              <w:t xml:space="preserve"> u eurima</w:t>
            </w:r>
          </w:p>
        </w:tc>
        <w:tc>
          <w:tcPr>
            <w:tcW w:w="3464" w:type="dxa"/>
            <w:vAlign w:val="center"/>
          </w:tcPr>
          <w:p w:rsidR="004055CC" w:rsidRPr="00152DF9" w:rsidRDefault="00906F2B" w:rsidP="00416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2.110.513,06</w:t>
            </w:r>
          </w:p>
        </w:tc>
        <w:tc>
          <w:tcPr>
            <w:tcW w:w="3459" w:type="dxa"/>
            <w:vAlign w:val="center"/>
          </w:tcPr>
          <w:p w:rsidR="004055CC" w:rsidRPr="00152DF9" w:rsidRDefault="00EE51FF" w:rsidP="006C2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85">
              <w:rPr>
                <w:rFonts w:ascii="Times New Roman" w:hAnsi="Times New Roman"/>
                <w:sz w:val="24"/>
                <w:szCs w:val="24"/>
              </w:rPr>
              <w:t>2.</w:t>
            </w:r>
            <w:r w:rsidR="006C2385" w:rsidRPr="006C2385">
              <w:rPr>
                <w:rFonts w:ascii="Times New Roman" w:hAnsi="Times New Roman"/>
                <w:sz w:val="24"/>
                <w:szCs w:val="24"/>
              </w:rPr>
              <w:t>763.287,97</w:t>
            </w:r>
          </w:p>
        </w:tc>
      </w:tr>
    </w:tbl>
    <w:p w:rsidR="004F20E7" w:rsidRDefault="004F20E7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23AD" w:rsidRDefault="009B23A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1479C" w:rsidRPr="00152DF9" w:rsidRDefault="000D7530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0C38BB" w:rsidRPr="00152DF9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bCs/>
          <w:sz w:val="24"/>
          <w:szCs w:val="24"/>
        </w:rPr>
        <w:t xml:space="preserve">Zagreb, </w:t>
      </w:r>
      <w:r w:rsidR="00635356">
        <w:rPr>
          <w:rFonts w:ascii="Times New Roman" w:hAnsi="Times New Roman"/>
          <w:bCs/>
          <w:sz w:val="24"/>
          <w:szCs w:val="24"/>
        </w:rPr>
        <w:t>26. ožujka 2026</w:t>
      </w:r>
      <w:r w:rsidR="000C38BB" w:rsidRPr="00152DF9">
        <w:rPr>
          <w:rFonts w:ascii="Times New Roman" w:hAnsi="Times New Roman"/>
          <w:bCs/>
          <w:sz w:val="24"/>
          <w:szCs w:val="24"/>
        </w:rPr>
        <w:t>.</w:t>
      </w: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152DF9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152DF9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152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152DF9">
        <w:rPr>
          <w:rFonts w:ascii="Times New Roman" w:hAnsi="Times New Roman"/>
          <w:sz w:val="24"/>
          <w:szCs w:val="24"/>
        </w:rPr>
        <w:t xml:space="preserve">    Prof.dr.sc. </w:t>
      </w:r>
      <w:r w:rsidR="006F4101">
        <w:rPr>
          <w:rFonts w:ascii="Times New Roman" w:hAnsi="Times New Roman"/>
          <w:sz w:val="24"/>
          <w:szCs w:val="24"/>
        </w:rPr>
        <w:t xml:space="preserve">Marin </w:t>
      </w:r>
      <w:proofErr w:type="spellStart"/>
      <w:r w:rsidR="006F4101">
        <w:rPr>
          <w:rFonts w:ascii="Times New Roman" w:hAnsi="Times New Roman"/>
          <w:sz w:val="24"/>
          <w:szCs w:val="24"/>
        </w:rPr>
        <w:t>Vodanović</w:t>
      </w:r>
      <w:proofErr w:type="spellEnd"/>
    </w:p>
    <w:sectPr w:rsidR="00B55A24" w:rsidRPr="00152DF9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24" w:rsidRDefault="00964024" w:rsidP="00364558">
      <w:r>
        <w:separator/>
      </w:r>
    </w:p>
  </w:endnote>
  <w:endnote w:type="continuationSeparator" w:id="0">
    <w:p w:rsidR="00964024" w:rsidRDefault="00964024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FC748B" w:rsidRDefault="00FC748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B85">
          <w:rPr>
            <w:noProof/>
          </w:rPr>
          <w:t>4</w:t>
        </w:r>
        <w:r>
          <w:fldChar w:fldCharType="end"/>
        </w:r>
      </w:p>
    </w:sdtContent>
  </w:sdt>
  <w:p w:rsidR="00FC748B" w:rsidRDefault="00FC7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24" w:rsidRDefault="00964024" w:rsidP="00364558">
      <w:r>
        <w:separator/>
      </w:r>
    </w:p>
  </w:footnote>
  <w:footnote w:type="continuationSeparator" w:id="0">
    <w:p w:rsidR="00964024" w:rsidRDefault="00964024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D92E7470"/>
    <w:lvl w:ilvl="0" w:tplc="4B186A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890"/>
    <w:rsid w:val="00075D39"/>
    <w:rsid w:val="000801C6"/>
    <w:rsid w:val="000840B1"/>
    <w:rsid w:val="000862C3"/>
    <w:rsid w:val="000A12F6"/>
    <w:rsid w:val="000A71DA"/>
    <w:rsid w:val="000C356D"/>
    <w:rsid w:val="000C38BB"/>
    <w:rsid w:val="000C6C15"/>
    <w:rsid w:val="000C6CE9"/>
    <w:rsid w:val="000D7530"/>
    <w:rsid w:val="001063FB"/>
    <w:rsid w:val="00124B9E"/>
    <w:rsid w:val="00133501"/>
    <w:rsid w:val="00152DF9"/>
    <w:rsid w:val="001555B0"/>
    <w:rsid w:val="00157EB7"/>
    <w:rsid w:val="00162989"/>
    <w:rsid w:val="001735B6"/>
    <w:rsid w:val="00175311"/>
    <w:rsid w:val="0018761F"/>
    <w:rsid w:val="00191015"/>
    <w:rsid w:val="00197212"/>
    <w:rsid w:val="00197397"/>
    <w:rsid w:val="001A0921"/>
    <w:rsid w:val="001B3C91"/>
    <w:rsid w:val="001B7C59"/>
    <w:rsid w:val="001E4627"/>
    <w:rsid w:val="001E5C18"/>
    <w:rsid w:val="001F5B6B"/>
    <w:rsid w:val="0020045D"/>
    <w:rsid w:val="00202FCA"/>
    <w:rsid w:val="002154C7"/>
    <w:rsid w:val="00217B85"/>
    <w:rsid w:val="0022141D"/>
    <w:rsid w:val="002236BB"/>
    <w:rsid w:val="002251E8"/>
    <w:rsid w:val="00240F64"/>
    <w:rsid w:val="0026744B"/>
    <w:rsid w:val="00280328"/>
    <w:rsid w:val="00286634"/>
    <w:rsid w:val="0028762D"/>
    <w:rsid w:val="00295B22"/>
    <w:rsid w:val="002A25EE"/>
    <w:rsid w:val="002A70A4"/>
    <w:rsid w:val="002B53FB"/>
    <w:rsid w:val="002C3CF0"/>
    <w:rsid w:val="002C437A"/>
    <w:rsid w:val="002C5CFF"/>
    <w:rsid w:val="002C7E4C"/>
    <w:rsid w:val="002D70CB"/>
    <w:rsid w:val="002E6055"/>
    <w:rsid w:val="002F17A3"/>
    <w:rsid w:val="0030335B"/>
    <w:rsid w:val="00310271"/>
    <w:rsid w:val="00324205"/>
    <w:rsid w:val="0032700C"/>
    <w:rsid w:val="00334EB6"/>
    <w:rsid w:val="00343FF7"/>
    <w:rsid w:val="00352D66"/>
    <w:rsid w:val="00364558"/>
    <w:rsid w:val="003659E6"/>
    <w:rsid w:val="00382E1A"/>
    <w:rsid w:val="003B4655"/>
    <w:rsid w:val="003B587F"/>
    <w:rsid w:val="003C29B2"/>
    <w:rsid w:val="003D3146"/>
    <w:rsid w:val="003D489F"/>
    <w:rsid w:val="003F4018"/>
    <w:rsid w:val="003F74FC"/>
    <w:rsid w:val="004055CC"/>
    <w:rsid w:val="00411262"/>
    <w:rsid w:val="00416000"/>
    <w:rsid w:val="00421F61"/>
    <w:rsid w:val="00440955"/>
    <w:rsid w:val="00455EF8"/>
    <w:rsid w:val="00471DA4"/>
    <w:rsid w:val="00471F3A"/>
    <w:rsid w:val="00476288"/>
    <w:rsid w:val="00496216"/>
    <w:rsid w:val="004A36F9"/>
    <w:rsid w:val="004B2E37"/>
    <w:rsid w:val="004B6973"/>
    <w:rsid w:val="004C4D50"/>
    <w:rsid w:val="004F20E7"/>
    <w:rsid w:val="00506079"/>
    <w:rsid w:val="0051479C"/>
    <w:rsid w:val="00516C6C"/>
    <w:rsid w:val="005247BE"/>
    <w:rsid w:val="005302B2"/>
    <w:rsid w:val="00532BAB"/>
    <w:rsid w:val="00535727"/>
    <w:rsid w:val="00535B9F"/>
    <w:rsid w:val="005429E4"/>
    <w:rsid w:val="005468E4"/>
    <w:rsid w:val="005541F5"/>
    <w:rsid w:val="00577B86"/>
    <w:rsid w:val="0059737F"/>
    <w:rsid w:val="005A58F8"/>
    <w:rsid w:val="005B5C25"/>
    <w:rsid w:val="005C0CBB"/>
    <w:rsid w:val="005D084D"/>
    <w:rsid w:val="005D6CF4"/>
    <w:rsid w:val="005E20FC"/>
    <w:rsid w:val="005E6D1E"/>
    <w:rsid w:val="005E7E6C"/>
    <w:rsid w:val="00607040"/>
    <w:rsid w:val="00613423"/>
    <w:rsid w:val="00622463"/>
    <w:rsid w:val="00626273"/>
    <w:rsid w:val="00635356"/>
    <w:rsid w:val="00656A92"/>
    <w:rsid w:val="006653D9"/>
    <w:rsid w:val="006820E9"/>
    <w:rsid w:val="00692F7F"/>
    <w:rsid w:val="006A582F"/>
    <w:rsid w:val="006A70C7"/>
    <w:rsid w:val="006B5871"/>
    <w:rsid w:val="006C2385"/>
    <w:rsid w:val="006D0BC1"/>
    <w:rsid w:val="006D5E5B"/>
    <w:rsid w:val="006F4101"/>
    <w:rsid w:val="006F7BB0"/>
    <w:rsid w:val="006F7F84"/>
    <w:rsid w:val="00704821"/>
    <w:rsid w:val="00742C4C"/>
    <w:rsid w:val="0075195F"/>
    <w:rsid w:val="0075768C"/>
    <w:rsid w:val="00772DC7"/>
    <w:rsid w:val="007A41A7"/>
    <w:rsid w:val="007C60D4"/>
    <w:rsid w:val="007D550F"/>
    <w:rsid w:val="00802FB1"/>
    <w:rsid w:val="00810F3A"/>
    <w:rsid w:val="00813136"/>
    <w:rsid w:val="0082637D"/>
    <w:rsid w:val="00831A46"/>
    <w:rsid w:val="00834D14"/>
    <w:rsid w:val="00870B91"/>
    <w:rsid w:val="00881BC3"/>
    <w:rsid w:val="00886A07"/>
    <w:rsid w:val="00886A78"/>
    <w:rsid w:val="008A6B1F"/>
    <w:rsid w:val="008B367A"/>
    <w:rsid w:val="008C5267"/>
    <w:rsid w:val="008D0E39"/>
    <w:rsid w:val="008F2F06"/>
    <w:rsid w:val="00906F2B"/>
    <w:rsid w:val="00930F6B"/>
    <w:rsid w:val="00942C4A"/>
    <w:rsid w:val="00961327"/>
    <w:rsid w:val="0096353E"/>
    <w:rsid w:val="00964024"/>
    <w:rsid w:val="00972C4A"/>
    <w:rsid w:val="00974C80"/>
    <w:rsid w:val="00984682"/>
    <w:rsid w:val="009851BB"/>
    <w:rsid w:val="00996839"/>
    <w:rsid w:val="009B2380"/>
    <w:rsid w:val="009B23AD"/>
    <w:rsid w:val="009D79CD"/>
    <w:rsid w:val="009E4788"/>
    <w:rsid w:val="009E4F38"/>
    <w:rsid w:val="00A10AE2"/>
    <w:rsid w:val="00A31F1B"/>
    <w:rsid w:val="00A414E2"/>
    <w:rsid w:val="00A42872"/>
    <w:rsid w:val="00A43386"/>
    <w:rsid w:val="00A519EE"/>
    <w:rsid w:val="00A63DCA"/>
    <w:rsid w:val="00A641DA"/>
    <w:rsid w:val="00A769FB"/>
    <w:rsid w:val="00A80C82"/>
    <w:rsid w:val="00A81F0E"/>
    <w:rsid w:val="00A838DD"/>
    <w:rsid w:val="00AB3778"/>
    <w:rsid w:val="00AB7EC6"/>
    <w:rsid w:val="00AC0436"/>
    <w:rsid w:val="00AD1CC7"/>
    <w:rsid w:val="00AE4B2C"/>
    <w:rsid w:val="00AF3B94"/>
    <w:rsid w:val="00AF704F"/>
    <w:rsid w:val="00B07E8A"/>
    <w:rsid w:val="00B155B7"/>
    <w:rsid w:val="00B30C8C"/>
    <w:rsid w:val="00B31312"/>
    <w:rsid w:val="00B5135E"/>
    <w:rsid w:val="00B55A24"/>
    <w:rsid w:val="00B610B9"/>
    <w:rsid w:val="00B67006"/>
    <w:rsid w:val="00B71C71"/>
    <w:rsid w:val="00BB704E"/>
    <w:rsid w:val="00BB7B3A"/>
    <w:rsid w:val="00BC10D9"/>
    <w:rsid w:val="00BE49F5"/>
    <w:rsid w:val="00BF4AEB"/>
    <w:rsid w:val="00C03296"/>
    <w:rsid w:val="00C22790"/>
    <w:rsid w:val="00C26986"/>
    <w:rsid w:val="00C313ED"/>
    <w:rsid w:val="00C41116"/>
    <w:rsid w:val="00C43A77"/>
    <w:rsid w:val="00C55CF9"/>
    <w:rsid w:val="00C56DD1"/>
    <w:rsid w:val="00C57B3F"/>
    <w:rsid w:val="00C61C83"/>
    <w:rsid w:val="00C67039"/>
    <w:rsid w:val="00C978D1"/>
    <w:rsid w:val="00CA2F47"/>
    <w:rsid w:val="00CC03AB"/>
    <w:rsid w:val="00CC3BA5"/>
    <w:rsid w:val="00CC4D0C"/>
    <w:rsid w:val="00CC4FD9"/>
    <w:rsid w:val="00CD3D10"/>
    <w:rsid w:val="00CF2CD2"/>
    <w:rsid w:val="00CF6D6D"/>
    <w:rsid w:val="00D03DB7"/>
    <w:rsid w:val="00D074B4"/>
    <w:rsid w:val="00D32D18"/>
    <w:rsid w:val="00D417B0"/>
    <w:rsid w:val="00D63372"/>
    <w:rsid w:val="00D662B8"/>
    <w:rsid w:val="00D67C04"/>
    <w:rsid w:val="00D75999"/>
    <w:rsid w:val="00D97AF1"/>
    <w:rsid w:val="00DA5E0E"/>
    <w:rsid w:val="00DC1E38"/>
    <w:rsid w:val="00DC32C3"/>
    <w:rsid w:val="00DD2BCE"/>
    <w:rsid w:val="00DE2D24"/>
    <w:rsid w:val="00DF7A63"/>
    <w:rsid w:val="00E01CEF"/>
    <w:rsid w:val="00E14157"/>
    <w:rsid w:val="00E15315"/>
    <w:rsid w:val="00E5379B"/>
    <w:rsid w:val="00E6348D"/>
    <w:rsid w:val="00E6419F"/>
    <w:rsid w:val="00E668EF"/>
    <w:rsid w:val="00E86EFF"/>
    <w:rsid w:val="00E93F46"/>
    <w:rsid w:val="00EB4EF5"/>
    <w:rsid w:val="00EB778A"/>
    <w:rsid w:val="00EC7664"/>
    <w:rsid w:val="00EE51FF"/>
    <w:rsid w:val="00EF3673"/>
    <w:rsid w:val="00F17949"/>
    <w:rsid w:val="00F45C10"/>
    <w:rsid w:val="00F62C7B"/>
    <w:rsid w:val="00F74DC1"/>
    <w:rsid w:val="00F85A03"/>
    <w:rsid w:val="00F878FA"/>
    <w:rsid w:val="00F951B1"/>
    <w:rsid w:val="00FA2A5D"/>
    <w:rsid w:val="00FA5EE9"/>
    <w:rsid w:val="00FB2E8E"/>
    <w:rsid w:val="00FB611B"/>
    <w:rsid w:val="00FC05A9"/>
    <w:rsid w:val="00FC748B"/>
    <w:rsid w:val="00FD55AA"/>
    <w:rsid w:val="00FD6F19"/>
    <w:rsid w:val="00FE1606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AC5E60"/>
  <w15:docId w15:val="{3498034D-11B6-4267-9EAD-6B92D458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51479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E46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"Ana-Marija Fijala" &lt;fijala@sfzg.hr&gt;</dc:creator>
  <cp:lastModifiedBy>afijala</cp:lastModifiedBy>
  <cp:revision>15</cp:revision>
  <cp:lastPrinted>2024-07-15T11:24:00Z</cp:lastPrinted>
  <dcterms:created xsi:type="dcterms:W3CDTF">2026-03-23T19:47:00Z</dcterms:created>
  <dcterms:modified xsi:type="dcterms:W3CDTF">2026-03-30T14:14:00Z</dcterms:modified>
</cp:coreProperties>
</file>